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FEBB3">
      <w:pPr>
        <w:spacing w:line="360" w:lineRule="auto"/>
        <w:rPr>
          <w:sz w:val="44"/>
          <w:szCs w:val="44"/>
        </w:rPr>
      </w:pPr>
      <w:bookmarkStart w:id="0" w:name="_GoBack"/>
      <w:bookmarkEnd w:id="0"/>
      <w:r>
        <w:rPr>
          <w:rFonts w:hint="eastAsia"/>
          <w:sz w:val="44"/>
          <w:szCs w:val="44"/>
        </w:rPr>
        <w:tab/>
      </w:r>
      <w:r>
        <w:rPr>
          <w:rFonts w:hint="eastAsia"/>
          <w:sz w:val="44"/>
          <w:szCs w:val="44"/>
        </w:rPr>
        <w:tab/>
      </w:r>
      <w:r>
        <w:rPr>
          <w:rFonts w:hint="eastAsia"/>
          <w:sz w:val="44"/>
          <w:szCs w:val="44"/>
        </w:rPr>
        <w:tab/>
      </w:r>
    </w:p>
    <w:p w14:paraId="02DA704C">
      <w:pPr>
        <w:spacing w:line="360" w:lineRule="auto"/>
        <w:rPr>
          <w:sz w:val="44"/>
          <w:szCs w:val="44"/>
        </w:rPr>
      </w:pP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p>
    <w:p w14:paraId="24F51294">
      <w:pPr>
        <w:spacing w:line="360" w:lineRule="auto"/>
        <w:jc w:val="center"/>
        <w:rPr>
          <w:rFonts w:ascii="微软雅黑" w:hAnsi="微软雅黑" w:eastAsia="微软雅黑" w:cs="微软雅黑"/>
          <w:b/>
          <w:sz w:val="44"/>
          <w:szCs w:val="44"/>
        </w:rPr>
      </w:pPr>
      <w:r>
        <w:rPr>
          <w:rFonts w:ascii="微软雅黑" w:hAnsi="微软雅黑" w:eastAsia="微软雅黑" w:cs="微软雅黑"/>
          <w:b/>
          <w:sz w:val="44"/>
          <w:szCs w:val="44"/>
        </w:rPr>
        <w:t xml:space="preserve">G1000 Измеритель концентрации пыли</w:t>
      </w:r>
      <w:r>
        <w:rPr>
          <w:rFonts w:hint="eastAsia" w:ascii="微软雅黑" w:hAnsi="微软雅黑" w:eastAsia="微软雅黑" w:cs="微软雅黑"/>
          <w:b/>
          <w:sz w:val="44"/>
          <w:szCs w:val="44"/>
        </w:rPr>
        <w:t/>
      </w:r>
    </w:p>
    <w:p w14:paraId="16F9CA91">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使用说明书</w:t>
      </w:r>
    </w:p>
    <w:p w14:paraId="45AAB286">
      <w:pPr>
        <w:spacing w:line="360" w:lineRule="auto"/>
      </w:pPr>
    </w:p>
    <w:p w14:paraId="168A2373">
      <w:pPr>
        <w:spacing w:line="360" w:lineRule="auto"/>
      </w:pPr>
    </w:p>
    <w:p w14:paraId="1713044D">
      <w:pPr>
        <w:spacing w:line="360" w:lineRule="auto"/>
      </w:pPr>
    </w:p>
    <w:p w14:paraId="13485F86">
      <w:pPr>
        <w:spacing w:line="360" w:lineRule="auto"/>
      </w:pPr>
    </w:p>
    <w:p w14:paraId="6C73B555">
      <w:pPr>
        <w:spacing w:line="360" w:lineRule="auto"/>
      </w:pPr>
    </w:p>
    <w:p w14:paraId="57D01B9B">
      <w:pPr>
        <w:spacing w:line="360" w:lineRule="auto"/>
      </w:pPr>
    </w:p>
    <w:p w14:paraId="07F4E175">
      <w:pPr>
        <w:spacing w:line="360" w:lineRule="auto"/>
      </w:pPr>
    </w:p>
    <w:p w14:paraId="3E5549C4">
      <w:pPr>
        <w:spacing w:line="360" w:lineRule="auto"/>
      </w:pPr>
    </w:p>
    <w:p w14:paraId="1B2D07DA">
      <w:pPr>
        <w:spacing w:line="360" w:lineRule="auto"/>
      </w:pPr>
    </w:p>
    <w:p w14:paraId="6D0F0FAC">
      <w:pPr>
        <w:spacing w:line="360" w:lineRule="auto"/>
        <w:jc w:val="center"/>
        <w:rPr>
          <w:rFonts w:ascii="微软雅黑" w:hAnsi="微软雅黑" w:eastAsia="微软雅黑" w:cs="微软雅黑"/>
          <w:sz w:val="36"/>
          <w:szCs w:val="36"/>
        </w:rPr>
      </w:pPr>
      <w:r>
        <w:rPr>
          <w:rFonts w:hint="eastAsia" w:ascii="微软雅黑" w:hAnsi="微软雅黑" w:eastAsia="微软雅黑" w:cs="微软雅黑"/>
          <w:sz w:val="36"/>
          <w:szCs w:val="36"/>
        </w:rPr>
        <w:t>河南欧泰威尔电子科技有限公司</w:t>
      </w:r>
    </w:p>
    <w:p w14:paraId="00D6CF8A">
      <w:pPr>
        <w:spacing w:line="360" w:lineRule="auto"/>
        <w:jc w:val="center"/>
        <w:rPr>
          <w:rFonts w:ascii="微软雅黑" w:hAnsi="微软雅黑" w:eastAsia="微软雅黑" w:cs="微软雅黑"/>
          <w:sz w:val="28"/>
          <w:szCs w:val="28"/>
        </w:rPr>
      </w:pPr>
      <w:r>
        <w:rPr>
          <w:rFonts w:hint="eastAsia" w:ascii="微软雅黑" w:hAnsi="微软雅黑" w:eastAsia="微软雅黑" w:cs="微软雅黑"/>
          <w:sz w:val="28"/>
          <w:szCs w:val="28"/>
        </w:rPr>
        <w:t>Предприятие, сертифицированное по системе менеджмента качества ISO9001</w:t>
      </w:r>
    </w:p>
    <w:p w14:paraId="33743238">
      <w:pPr>
        <w:spacing w:line="360" w:lineRule="auto"/>
        <w:rPr>
          <w:rFonts w:ascii="微软雅黑" w:hAnsi="微软雅黑" w:eastAsia="微软雅黑" w:cs="微软雅黑"/>
          <w:b/>
          <w:sz w:val="52"/>
          <w:szCs w:val="52"/>
        </w:rPr>
      </w:pPr>
      <w:r>
        <w:tab/>
      </w:r>
      <w:r>
        <w:tab/>
      </w:r>
      <w:r>
        <w:tab/>
      </w:r>
      <w:r>
        <w:tab/>
      </w:r>
      <w:r>
        <w:tab/>
      </w:r>
      <w:r>
        <w:tab/>
      </w:r>
      <w:r>
        <w:tab/>
      </w:r>
      <w:r>
        <w:tab/>
      </w:r>
      <w:r>
        <w:rPr>
          <w:sz w:val="32"/>
          <w:szCs w:val="32"/>
        </w:rPr>
        <w:tab/>
      </w:r>
      <w:r>
        <w:rPr>
          <w:sz w:val="32"/>
          <w:szCs w:val="32"/>
        </w:rPr>
        <w:tab/>
      </w:r>
    </w:p>
    <w:p w14:paraId="7335251A">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目    录</w:t>
      </w:r>
    </w:p>
    <w:p w14:paraId="54E636DB">
      <w:pPr>
        <w:spacing w:line="360" w:lineRule="auto"/>
        <w:rPr>
          <w:rFonts w:ascii="微软雅黑" w:hAnsi="微软雅黑" w:eastAsia="微软雅黑" w:cs="微软雅黑"/>
          <w:b/>
          <w:sz w:val="32"/>
          <w:szCs w:val="32"/>
        </w:rPr>
      </w:pPr>
    </w:p>
    <w:p w14:paraId="50FF9165">
      <w:pPr>
        <w:spacing w:line="360" w:lineRule="auto"/>
        <w:jc w:val="center"/>
        <w:rPr>
          <w:rFonts w:ascii="微软雅黑" w:hAnsi="微软雅黑" w:eastAsia="微软雅黑" w:cs="微软雅黑"/>
          <w:b/>
          <w:sz w:val="32"/>
          <w:szCs w:val="32"/>
        </w:rPr>
      </w:pPr>
    </w:p>
    <w:p w14:paraId="7C3ED81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概述</w:t>
      </w:r>
    </w:p>
    <w:p w14:paraId="0EBFEE27">
      <w:pPr>
        <w:spacing w:line="360" w:lineRule="auto"/>
        <w:rPr>
          <w:rFonts w:ascii="微软雅黑" w:hAnsi="微软雅黑" w:eastAsia="微软雅黑" w:cs="微软雅黑"/>
          <w:b/>
          <w:sz w:val="32"/>
          <w:szCs w:val="32"/>
        </w:rPr>
      </w:pPr>
    </w:p>
    <w:p w14:paraId="29A8F0AF">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性能指标</w:t>
      </w:r>
    </w:p>
    <w:p w14:paraId="6FD2C2C3">
      <w:pPr>
        <w:spacing w:line="360" w:lineRule="auto"/>
        <w:rPr>
          <w:rFonts w:ascii="微软雅黑" w:hAnsi="微软雅黑" w:eastAsia="微软雅黑" w:cs="微软雅黑"/>
          <w:b/>
          <w:sz w:val="32"/>
          <w:szCs w:val="32"/>
        </w:rPr>
      </w:pPr>
    </w:p>
    <w:p w14:paraId="06864E2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功能介绍</w:t>
      </w:r>
    </w:p>
    <w:p w14:paraId="5FF3330D">
      <w:pPr>
        <w:spacing w:line="360" w:lineRule="auto"/>
        <w:rPr>
          <w:rFonts w:ascii="微软雅黑" w:hAnsi="微软雅黑" w:eastAsia="微软雅黑" w:cs="微软雅黑"/>
          <w:b/>
          <w:sz w:val="32"/>
          <w:szCs w:val="32"/>
        </w:rPr>
      </w:pPr>
    </w:p>
    <w:p w14:paraId="4ABA0BA0">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操作说明</w:t>
      </w:r>
    </w:p>
    <w:p w14:paraId="152B58F1">
      <w:pPr>
        <w:spacing w:line="360" w:lineRule="auto"/>
        <w:rPr>
          <w:b/>
          <w:sz w:val="32"/>
          <w:szCs w:val="32"/>
        </w:rPr>
      </w:pPr>
    </w:p>
    <w:p w14:paraId="09CF0675">
      <w:pPr>
        <w:spacing w:line="360" w:lineRule="auto"/>
        <w:rPr>
          <w:b/>
          <w:sz w:val="32"/>
          <w:szCs w:val="32"/>
        </w:rPr>
      </w:pPr>
    </w:p>
    <w:p w14:paraId="7E21670F">
      <w:pPr>
        <w:spacing w:line="360" w:lineRule="auto"/>
        <w:rPr>
          <w:b/>
          <w:sz w:val="32"/>
          <w:szCs w:val="32"/>
        </w:rPr>
      </w:pPr>
    </w:p>
    <w:p w14:paraId="3D102F86">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概述</w:t>
      </w:r>
    </w:p>
    <w:p w14:paraId="6144444F">
      <w:pPr>
        <w:pStyle w:val="9"/>
        <w:ind w:firstLine="360"/>
        <w:jc w:val="left"/>
        <w:rPr>
          <w:rFonts w:ascii="微软雅黑" w:hAnsi="微软雅黑" w:eastAsia="微软雅黑" w:cs="微软雅黑"/>
          <w:sz w:val="18"/>
          <w:szCs w:val="18"/>
        </w:rPr>
      </w:pPr>
      <w:r>
        <w:rPr>
          <w:rFonts w:ascii="微软雅黑" w:hAnsi="微软雅黑" w:eastAsia="微软雅黑" w:cs="微软雅黑"/>
          <w:sz w:val="18"/>
          <w:szCs w:val="18"/>
        </w:rPr>
        <w:t>Измеритель концентрации пыли G1000 — это пылемер, созданный на основе принципа лазерного рассеяния с принудительным отбором проб насосом. Предназначен главным образом для измерения взвешенных в воздухе частиц или крупной пыли, угольной пыли, летучей пыли, цементной пыли и т. п.; данные выводятся в виде массовой концентрации.</w:t>
      </w:r>
      <w:r>
        <w:rPr>
          <w:rFonts w:hint="eastAsia" w:ascii="微软雅黑" w:hAnsi="微软雅黑" w:eastAsia="微软雅黑" w:cs="微软雅黑"/>
          <w:sz w:val="18"/>
          <w:szCs w:val="18"/>
        </w:rPr>
        <w:t/>
      </w:r>
    </w:p>
    <w:p w14:paraId="7092AEE9">
      <w:pPr>
        <w:pStyle w:val="9"/>
        <w:ind w:firstLine="360"/>
        <w:jc w:val="left"/>
        <w:rPr>
          <w:rFonts w:ascii="微软雅黑" w:hAnsi="微软雅黑" w:eastAsia="微软雅黑" w:cs="微软雅黑"/>
          <w:sz w:val="18"/>
          <w:szCs w:val="18"/>
        </w:rPr>
      </w:pPr>
      <w:r>
        <w:rPr>
          <w:rFonts w:hint="eastAsia" w:ascii="微软雅黑" w:hAnsi="微软雅黑" w:eastAsia="微软雅黑" w:cs="微软雅黑"/>
          <w:sz w:val="18"/>
          <w:szCs w:val="18"/>
        </w:rPr>
        <w:t>该仪器采用先进的嵌入式技术，由中央处理器对采集信息进行处理，具有处理速度快，抗干扰能力强，测量精度高等优点。本检测仪采用全中文触摸显示屏，高精度激光粉尘浓度检测传感器，高精度数据处理器，大功率安全电源。相比于传统检测仪，本仪器使用彩色中文界面，触屏控制，简化了操作步骤，使用户更方便快捷直观的操作本款仪器。</w:t>
      </w:r>
    </w:p>
    <w:p w14:paraId="13029409">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性能指标</w:t>
      </w:r>
    </w:p>
    <w:p w14:paraId="7A63BD5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Диапазон измерений: 0～500ug/m 3 или 0～1000mg/m3 (по выбору)</w:t>
      </w:r>
    </w:p>
    <w:p w14:paraId="21212177">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Дискретность: 1ug/ m 3 или 1mg/m3 (по выбору)</w:t>
      </w:r>
    </w:p>
    <w:p w14:paraId="47E9B392">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测量误差：≤±20%</w:t>
      </w:r>
    </w:p>
    <w:p w14:paraId="6C544D8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重 复 性：（一致性）误差≤±20%</w:t>
      </w:r>
    </w:p>
    <w:p w14:paraId="4DBB15A4">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采样方法：实时采样</w:t>
      </w:r>
    </w:p>
    <w:p w14:paraId="36B39ED6">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数据更新频率：≥2 秒</w:t>
      </w:r>
    </w:p>
    <w:p w14:paraId="1FA4770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检测数据存储：1000条（可擦除）</w:t>
      </w:r>
    </w:p>
    <w:p w14:paraId="13ACA8C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Рабочая температура окружающей среды: –10～60℃; влажность: 0～90%RH (без конденсации)</w:t>
      </w:r>
    </w:p>
    <w:p w14:paraId="35DEA6B9">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Температура хранения: –20～80℃; влажность: 0～90%RH</w:t>
      </w:r>
    </w:p>
    <w:p w14:paraId="22BFE97B">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Срок службы: 5 лет (при нормальной температуре 20℃, влажности 50%RH, в чистой среде, при нормальной прерывистой работе)</w:t>
      </w:r>
    </w:p>
    <w:p w14:paraId="2D493134">
      <w:pPr>
        <w:spacing w:line="360" w:lineRule="auto"/>
        <w:jc w:val="left"/>
        <w:rPr>
          <w:rFonts w:ascii="微软雅黑" w:hAnsi="微软雅黑" w:eastAsia="微软雅黑" w:cs="微软雅黑"/>
          <w:sz w:val="20"/>
          <w:szCs w:val="20"/>
        </w:rPr>
      </w:pPr>
      <w:r>
        <w:rPr>
          <w:rFonts w:hint="eastAsia" w:ascii="微软雅黑" w:hAnsi="微软雅黑" w:eastAsia="微软雅黑" w:cs="微软雅黑"/>
          <w:b/>
          <w:bCs/>
          <w:sz w:val="20"/>
          <w:szCs w:val="20"/>
        </w:rPr>
        <w:drawing>
          <wp:anchor distT="0" distB="0" distL="114300" distR="114300" simplePos="0" relativeHeight="251662336" behindDoc="0" locked="0" layoutInCell="1" allowOverlap="1">
            <wp:simplePos x="0" y="0"/>
            <wp:positionH relativeFrom="column">
              <wp:posOffset>1176655</wp:posOffset>
            </wp:positionH>
            <wp:positionV relativeFrom="paragraph">
              <wp:posOffset>280035</wp:posOffset>
            </wp:positionV>
            <wp:extent cx="1247775" cy="2181225"/>
            <wp:effectExtent l="19050" t="0" r="9525" b="0"/>
            <wp:wrapNone/>
            <wp:docPr id="6" name="图片 5" descr="主图_看图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主图_看图王.jpg"/>
                    <pic:cNvPicPr>
                      <a:picLocks noChangeAspect="1"/>
                    </pic:cNvPicPr>
                  </pic:nvPicPr>
                  <pic:blipFill>
                    <a:blip r:embed="rId4"/>
                    <a:stretch>
                      <a:fillRect/>
                    </a:stretch>
                  </pic:blipFill>
                  <pic:spPr>
                    <a:xfrm>
                      <a:off x="0" y="0"/>
                      <a:ext cx="1247775" cy="2181225"/>
                    </a:xfrm>
                    <a:prstGeom prst="rect">
                      <a:avLst/>
                    </a:prstGeom>
                  </pic:spPr>
                </pic:pic>
              </a:graphicData>
            </a:graphic>
          </wp:anchor>
        </w:drawing>
      </w:r>
      <w:r>
        <w:rPr>
          <w:rFonts w:hint="eastAsia" w:ascii="微软雅黑" w:hAnsi="微软雅黑" w:eastAsia="微软雅黑" w:cs="微软雅黑"/>
          <w:b/>
          <w:bCs/>
          <w:sz w:val="20"/>
          <w:szCs w:val="20"/>
        </w:rPr>
        <w:t>产品图如下：</w:t>
      </w:r>
    </w:p>
    <w:p w14:paraId="759B1ACB">
      <w:pPr>
        <w:spacing w:line="360" w:lineRule="auto"/>
        <w:rPr>
          <w:rFonts w:hint="eastAsia"/>
          <w:sz w:val="30"/>
          <w:szCs w:val="30"/>
        </w:rPr>
      </w:pPr>
    </w:p>
    <w:p w14:paraId="2B98158F">
      <w:pPr>
        <w:spacing w:line="360" w:lineRule="auto"/>
        <w:rPr>
          <w:rFonts w:hint="eastAsia"/>
          <w:sz w:val="30"/>
          <w:szCs w:val="30"/>
        </w:rPr>
      </w:pPr>
    </w:p>
    <w:p w14:paraId="070E5D58">
      <w:pPr>
        <w:spacing w:line="360" w:lineRule="auto"/>
        <w:rPr>
          <w:rFonts w:hint="eastAsia"/>
          <w:sz w:val="30"/>
          <w:szCs w:val="30"/>
        </w:rPr>
      </w:pPr>
    </w:p>
    <w:p w14:paraId="3F1AE98A">
      <w:pPr>
        <w:spacing w:line="360" w:lineRule="auto"/>
        <w:rPr>
          <w:rFonts w:hint="eastAsia"/>
          <w:sz w:val="30"/>
          <w:szCs w:val="30"/>
        </w:rPr>
      </w:pPr>
    </w:p>
    <w:p w14:paraId="27D58C50">
      <w:pPr>
        <w:spacing w:line="360" w:lineRule="auto"/>
        <w:rPr>
          <w:rFonts w:hint="eastAsia"/>
          <w:sz w:val="30"/>
          <w:szCs w:val="30"/>
        </w:rPr>
      </w:pPr>
    </w:p>
    <w:p w14:paraId="752B607E">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功能介绍</w:t>
      </w:r>
    </w:p>
    <w:p w14:paraId="617D1C5B">
      <w:pPr>
        <w:pStyle w:val="9"/>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sz w:val="18"/>
          <w:szCs w:val="18"/>
        </w:rPr>
        <w:t>本检测仪具有粉尘检测、超限报警、多级报警点设置、数据存储及删除、零点平移、时钟显示及修改、电量显示、管理员密码设置及修改等功能。</w:t>
      </w:r>
    </w:p>
    <w:p w14:paraId="2D2B33CB">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粉尘检测：</w:t>
      </w:r>
      <w:r>
        <w:rPr>
          <w:rFonts w:hint="eastAsia" w:ascii="微软雅黑" w:hAnsi="微软雅黑" w:eastAsia="微软雅黑" w:cs="微软雅黑"/>
          <w:sz w:val="18"/>
          <w:szCs w:val="18"/>
        </w:rPr>
        <w:t>本检测仪采用实时数据监测显示。能对所检测环境中的大颗粒粉尘进行精准的检测。</w:t>
      </w:r>
    </w:p>
    <w:p w14:paraId="6EA891F6">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超限报警：</w:t>
      </w:r>
      <w:r>
        <w:rPr>
          <w:rFonts w:hint="eastAsia" w:ascii="微软雅黑" w:hAnsi="微软雅黑" w:eastAsia="微软雅黑" w:cs="微软雅黑"/>
          <w:sz w:val="18"/>
          <w:szCs w:val="18"/>
        </w:rPr>
        <w:t>本检测仪可设置两级报警值（低报、高报），且报警值可由管理员任意修改（具体参数以监测粉尘种类为标准准详见附录）。当实时浓度值高于低报值时检测仪发出报警信号，且显示屏提示“一级报警”，当实时浓度值高于低报值时检测仪发出报警信号，且显示屏提示“二级报警”。</w:t>
      </w:r>
    </w:p>
    <w:p w14:paraId="7646150B">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数据存储：</w:t>
      </w:r>
      <w:r>
        <w:rPr>
          <w:rFonts w:hint="eastAsia" w:ascii="微软雅黑" w:hAnsi="微软雅黑" w:eastAsia="微软雅黑" w:cs="微软雅黑"/>
          <w:sz w:val="18"/>
          <w:szCs w:val="18"/>
        </w:rPr>
        <w:t>本检测仪能对检测数据，检测时间进行手动存储。可根据用户需要手动清除无效数据记录。最多可保存1000条检测数据记录。</w:t>
      </w:r>
    </w:p>
    <w:p w14:paraId="2A10C7E3">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零点平移：</w:t>
      </w:r>
      <w:r>
        <w:rPr>
          <w:rFonts w:hint="eastAsia" w:ascii="微软雅黑" w:hAnsi="微软雅黑" w:eastAsia="微软雅黑" w:cs="微软雅黑"/>
          <w:sz w:val="18"/>
          <w:szCs w:val="18"/>
        </w:rPr>
        <w:t>当检测仪长时间使用，或长时间处于高浓度粉尘环境中检测中会造成零点值漂移，致使测量误差偏大。当数值误差偏大时用户可自行校正零点。</w:t>
      </w:r>
    </w:p>
    <w:p w14:paraId="2B2F27B4">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时钟显示：</w:t>
      </w:r>
      <w:r>
        <w:rPr>
          <w:rFonts w:hint="eastAsia" w:ascii="微软雅黑" w:hAnsi="微软雅黑" w:eastAsia="微软雅黑" w:cs="微软雅黑"/>
          <w:sz w:val="18"/>
          <w:szCs w:val="18"/>
        </w:rPr>
        <w:t>可显示（修改）时间。</w:t>
      </w:r>
    </w:p>
    <w:p w14:paraId="5F4FA89D">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密码修改：</w:t>
      </w:r>
      <w:r>
        <w:rPr>
          <w:rFonts w:hint="eastAsia" w:ascii="微软雅黑" w:hAnsi="微软雅黑" w:eastAsia="微软雅黑" w:cs="微软雅黑"/>
          <w:sz w:val="18"/>
          <w:szCs w:val="18"/>
        </w:rPr>
        <w:t>本检测仪可设置用仅有管理员用户权限可进行数据参数修改，管理员密码可任意修改。</w:t>
      </w:r>
    </w:p>
    <w:p w14:paraId="4B2FA84C">
      <w:pPr>
        <w:pStyle w:val="9"/>
        <w:numPr>
          <w:ilvl w:val="0"/>
          <w:numId w:val="2"/>
        </w:numPr>
        <w:spacing w:line="360" w:lineRule="auto"/>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操作说明</w:t>
      </w:r>
    </w:p>
    <w:p w14:paraId="2C50C220">
      <w:pPr>
        <w:spacing w:line="360" w:lineRule="auto"/>
        <w:rPr>
          <w:b/>
          <w:bCs/>
          <w:sz w:val="18"/>
          <w:szCs w:val="18"/>
        </w:rPr>
      </w:pPr>
      <w:r>
        <w:rPr>
          <w:rFonts w:hint="eastAsia"/>
          <w:b/>
          <w:bCs/>
          <w:sz w:val="18"/>
          <w:szCs w:val="18"/>
        </w:rPr>
        <w:t>1.</w:t>
      </w:r>
      <w:r>
        <w:rPr>
          <w:rFonts w:hint="eastAsia" w:ascii="微软雅黑" w:hAnsi="微软雅黑" w:eastAsia="微软雅黑" w:cs="微软雅黑"/>
          <w:b/>
          <w:bCs/>
          <w:sz w:val="18"/>
          <w:szCs w:val="18"/>
        </w:rPr>
        <w:t>开机预热</w:t>
      </w:r>
    </w:p>
    <w:p w14:paraId="69B50064">
      <w:pPr>
        <w:spacing w:line="360" w:lineRule="auto"/>
        <w:jc w:val="center"/>
      </w:pPr>
      <w:r>
        <w:rPr>
          <w:rFonts w:hint="eastAsia"/>
        </w:rPr>
        <w:drawing>
          <wp:anchor distT="0" distB="0" distL="114300" distR="114300" simplePos="0" relativeHeight="251659264" behindDoc="0" locked="0" layoutInCell="1" allowOverlap="1">
            <wp:simplePos x="0" y="0"/>
            <wp:positionH relativeFrom="column">
              <wp:posOffset>984250</wp:posOffset>
            </wp:positionH>
            <wp:positionV relativeFrom="paragraph">
              <wp:posOffset>40005</wp:posOffset>
            </wp:positionV>
            <wp:extent cx="1439545" cy="1089025"/>
            <wp:effectExtent l="19050" t="0" r="8255" b="0"/>
            <wp:wrapNone/>
            <wp:docPr id="1" name="图片 0" descr="AE3GL(EYOWLL1%~H`CT$3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AE3GL(EYOWLL1%~H`CT$3GG.jpg"/>
                    <pic:cNvPicPr>
                      <a:picLocks noChangeAspect="1"/>
                    </pic:cNvPicPr>
                  </pic:nvPicPr>
                  <pic:blipFill>
                    <a:blip r:embed="rId5"/>
                    <a:stretch>
                      <a:fillRect/>
                    </a:stretch>
                  </pic:blipFill>
                  <pic:spPr>
                    <a:xfrm>
                      <a:off x="0" y="0"/>
                      <a:ext cx="1439545" cy="1089329"/>
                    </a:xfrm>
                    <a:prstGeom prst="rect">
                      <a:avLst/>
                    </a:prstGeom>
                  </pic:spPr>
                </pic:pic>
              </a:graphicData>
            </a:graphic>
          </wp:anchor>
        </w:drawing>
      </w:r>
    </w:p>
    <w:p w14:paraId="6CAFC314">
      <w:pPr>
        <w:spacing w:line="360" w:lineRule="auto"/>
        <w:jc w:val="center"/>
      </w:pPr>
    </w:p>
    <w:p w14:paraId="08D80019">
      <w:pPr>
        <w:spacing w:line="360" w:lineRule="auto"/>
        <w:jc w:val="center"/>
      </w:pPr>
    </w:p>
    <w:p w14:paraId="66810A83">
      <w:pPr>
        <w:spacing w:line="360" w:lineRule="auto"/>
        <w:jc w:val="center"/>
        <w:rPr>
          <w:sz w:val="30"/>
          <w:szCs w:val="30"/>
        </w:rPr>
      </w:pPr>
    </w:p>
    <w:p w14:paraId="10A283FA">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При включении измеритель отображает экран запуска; датчик прогревается 15s, после завершения прогрева датчика автоматически выполняется переход в интерфейс измерений.</w:t>
      </w:r>
    </w:p>
    <w:p w14:paraId="48A13F6A">
      <w:pPr>
        <w:spacing w:line="360" w:lineRule="auto"/>
        <w:rPr>
          <w:rFonts w:ascii="微软雅黑" w:hAnsi="微软雅黑" w:eastAsia="微软雅黑" w:cs="微软雅黑"/>
          <w:b/>
          <w:bCs/>
          <w:sz w:val="20"/>
          <w:szCs w:val="20"/>
        </w:rPr>
      </w:pPr>
      <w:r>
        <w:rPr>
          <w:rFonts w:hint="eastAsia" w:ascii="微软雅黑" w:hAnsi="微软雅黑" w:eastAsia="微软雅黑" w:cs="微软雅黑"/>
          <w:b/>
          <w:bCs/>
          <w:sz w:val="20"/>
          <w:szCs w:val="20"/>
        </w:rPr>
        <w:t>2正常检测：</w:t>
      </w:r>
    </w:p>
    <w:p w14:paraId="6E9BE6B6">
      <w:pPr>
        <w:spacing w:line="360" w:lineRule="auto"/>
        <w:jc w:val="center"/>
        <w:rPr>
          <w:rFonts w:ascii="微软雅黑" w:hAnsi="微软雅黑" w:eastAsia="微软雅黑" w:cs="微软雅黑"/>
          <w:b/>
          <w:bCs/>
          <w:sz w:val="20"/>
          <w:szCs w:val="20"/>
        </w:rPr>
      </w:pPr>
      <w:r>
        <w:drawing>
          <wp:inline distT="0" distB="0" distL="114300" distR="114300">
            <wp:extent cx="1495425" cy="1152525"/>
            <wp:effectExtent l="0" t="0" r="3175" b="15875"/>
            <wp:docPr id="2" name="图片 1"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S09"/>
                    <pic:cNvPicPr>
                      <a:picLocks noChangeAspect="1"/>
                    </pic:cNvPicPr>
                  </pic:nvPicPr>
                  <pic:blipFill>
                    <a:blip r:embed="rId6"/>
                    <a:stretch>
                      <a:fillRect/>
                    </a:stretch>
                  </pic:blipFill>
                  <pic:spPr>
                    <a:xfrm>
                      <a:off x="0" y="0"/>
                      <a:ext cx="1495425" cy="1152525"/>
                    </a:xfrm>
                    <a:prstGeom prst="rect">
                      <a:avLst/>
                    </a:prstGeom>
                    <a:noFill/>
                    <a:ln>
                      <a:noFill/>
                    </a:ln>
                  </pic:spPr>
                </pic:pic>
              </a:graphicData>
            </a:graphic>
          </wp:inline>
        </w:drawing>
      </w:r>
    </w:p>
    <w:p w14:paraId="409663E7">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电量显示：检测界面显示当前电量值，当其图标为 </w:t>
      </w:r>
      <w:r>
        <w:rPr>
          <w:rFonts w:ascii="微软雅黑" w:hAnsi="微软雅黑" w:eastAsia="微软雅黑" w:cs="微软雅黑"/>
          <w:sz w:val="18"/>
          <w:szCs w:val="18"/>
        </w:rPr>
        <w:drawing>
          <wp:inline distT="0" distB="0" distL="114300" distR="114300">
            <wp:extent cx="381000" cy="190500"/>
            <wp:effectExtent l="0" t="0" r="0" b="12700"/>
            <wp:docPr id="5" name="图片 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9"/>
                    <pic:cNvPicPr>
                      <a:picLocks noChangeAspect="1"/>
                    </pic:cNvPicPr>
                  </pic:nvPicPr>
                  <pic:blipFill>
                    <a:blip r:embed="rId7"/>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时表示检测仪电量不足，需要进行充电，当充电器连接后充电图标将动画显示，充电完成后显示满电图标</w:t>
      </w:r>
      <w:r>
        <w:rPr>
          <w:rFonts w:ascii="微软雅黑" w:hAnsi="微软雅黑" w:eastAsia="微软雅黑" w:cs="微软雅黑"/>
          <w:sz w:val="18"/>
          <w:szCs w:val="18"/>
        </w:rPr>
        <w:drawing>
          <wp:inline distT="0" distB="0" distL="114300" distR="114300">
            <wp:extent cx="381000" cy="190500"/>
            <wp:effectExtent l="0" t="0" r="0" b="12700"/>
            <wp:docPr id="7"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4"/>
                    <pic:cNvPicPr>
                      <a:picLocks noChangeAspect="1"/>
                    </pic:cNvPicPr>
                  </pic:nvPicPr>
                  <pic:blipFill>
                    <a:blip r:embed="rId8"/>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。（关机充电可加快充电时间）</w:t>
      </w:r>
    </w:p>
    <w:p w14:paraId="69B2363E">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粉尘检测：点击上图所示风扇按钮 </w:t>
      </w:r>
      <w:r>
        <w:rPr>
          <w:rFonts w:ascii="微软雅黑" w:hAnsi="微软雅黑" w:eastAsia="微软雅黑" w:cs="微软雅黑"/>
          <w:sz w:val="18"/>
          <w:szCs w:val="18"/>
        </w:rPr>
        <w:drawing>
          <wp:inline distT="0" distB="0" distL="114300" distR="114300">
            <wp:extent cx="333375" cy="333375"/>
            <wp:effectExtent l="0" t="0" r="22225" b="22225"/>
            <wp:docPr id="8"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，待旋转动画开启后内置风机启动，传感器开始工作，显示值即为当前环境中的粉尘浓度值。</w:t>
      </w:r>
    </w:p>
    <w:p w14:paraId="54F12BA6">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检测记录：当风尘浓度稳定时候客户可根据需要手动保存当前浓度值。</w:t>
      </w:r>
    </w:p>
    <w:p w14:paraId="7E2B7C31">
      <w:p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点击风扇按钮</w:t>
      </w:r>
      <w:r>
        <w:rPr>
          <w:rFonts w:ascii="微软雅黑" w:hAnsi="微软雅黑" w:eastAsia="微软雅黑" w:cs="微软雅黑"/>
          <w:sz w:val="18"/>
          <w:szCs w:val="18"/>
        </w:rPr>
        <w:drawing>
          <wp:inline distT="0" distB="0" distL="114300" distR="114300">
            <wp:extent cx="333375" cy="333375"/>
            <wp:effectExtent l="0" t="0" r="22225" b="22225"/>
            <wp:docPr id="9"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，停止检测后点击保存按钮进行保存。（因环境气流影响浓度示值不稳定，请在浓度值趋于稳定值时执行此操作）。</w:t>
      </w:r>
    </w:p>
    <w:p w14:paraId="4A5BE53C">
      <w:pPr>
        <w:numPr>
          <w:ilvl w:val="0"/>
          <w:numId w:val="5"/>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报警消音：如果不需要浓度过高时蜂鸣器报警，可点击喇叭图标进行消音处理，此时报警状态只在显示屏显示，不在蜂鸣器报警，具体显示如下图所示。</w:t>
      </w:r>
    </w:p>
    <w:p w14:paraId="0F5F2FD1">
      <w:pPr>
        <w:spacing w:line="360" w:lineRule="auto"/>
        <w:jc w:val="center"/>
        <w:rPr>
          <w:rFonts w:ascii="微软雅黑" w:hAnsi="微软雅黑" w:eastAsia="微软雅黑" w:cs="微软雅黑"/>
          <w:sz w:val="18"/>
          <w:szCs w:val="18"/>
        </w:rPr>
      </w:pPr>
      <w:r>
        <w:drawing>
          <wp:inline distT="0" distB="0" distL="114300" distR="114300">
            <wp:extent cx="1524000" cy="1171575"/>
            <wp:effectExtent l="0" t="0" r="0" b="22225"/>
            <wp:docPr id="10" name="图片 6" descr="DSC_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DSC_0944"/>
                    <pic:cNvPicPr>
                      <a:picLocks noChangeAspect="1"/>
                    </pic:cNvPicPr>
                  </pic:nvPicPr>
                  <pic:blipFill>
                    <a:blip r:embed="rId10"/>
                    <a:stretch>
                      <a:fillRect/>
                    </a:stretch>
                  </pic:blipFill>
                  <pic:spPr>
                    <a:xfrm>
                      <a:off x="0" y="0"/>
                      <a:ext cx="1524000" cy="1171575"/>
                    </a:xfrm>
                    <a:prstGeom prst="rect">
                      <a:avLst/>
                    </a:prstGeom>
                    <a:noFill/>
                    <a:ln>
                      <a:noFill/>
                    </a:ln>
                  </pic:spPr>
                </pic:pic>
              </a:graphicData>
            </a:graphic>
          </wp:inline>
        </w:drawing>
      </w:r>
      <w:r>
        <w:drawing>
          <wp:inline distT="0" distB="0" distL="114300" distR="114300">
            <wp:extent cx="1524000" cy="1171575"/>
            <wp:effectExtent l="0" t="0" r="0" b="22225"/>
            <wp:docPr id="11" name="图片 7"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DS09"/>
                    <pic:cNvPicPr>
                      <a:picLocks noChangeAspect="1"/>
                    </pic:cNvPicPr>
                  </pic:nvPicPr>
                  <pic:blipFill>
                    <a:blip r:embed="rId6"/>
                    <a:stretch>
                      <a:fillRect/>
                    </a:stretch>
                  </pic:blipFill>
                  <pic:spPr>
                    <a:xfrm>
                      <a:off x="0" y="0"/>
                      <a:ext cx="1524000" cy="1171575"/>
                    </a:xfrm>
                    <a:prstGeom prst="rect">
                      <a:avLst/>
                    </a:prstGeom>
                    <a:noFill/>
                    <a:ln>
                      <a:noFill/>
                    </a:ln>
                  </pic:spPr>
                </pic:pic>
              </a:graphicData>
            </a:graphic>
          </wp:inline>
        </w:drawing>
      </w:r>
    </w:p>
    <w:p w14:paraId="5EE8DEA4">
      <w:pPr>
        <w:spacing w:line="360" w:lineRule="auto"/>
        <w:ind w:firstLine="800" w:firstLineChars="400"/>
        <w:jc w:val="left"/>
        <w:rPr>
          <w:rFonts w:ascii="微软雅黑" w:hAnsi="微软雅黑" w:eastAsia="微软雅黑" w:cs="微软雅黑"/>
          <w:sz w:val="20"/>
          <w:szCs w:val="20"/>
        </w:rPr>
      </w:pPr>
      <w:r>
        <w:rPr>
          <w:rFonts w:hint="eastAsia" w:ascii="微软雅黑" w:hAnsi="微软雅黑" w:eastAsia="微软雅黑" w:cs="微软雅黑"/>
          <w:sz w:val="20"/>
          <w:szCs w:val="20"/>
        </w:rPr>
        <w:t>正常检测报警状态             报警消音状态</w:t>
      </w:r>
    </w:p>
    <w:p w14:paraId="662E448D">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 xml:space="preserve">（5）进入菜单：点击右下角菜单按键后输入密码，出厂默认密码为“1111”输入完成后进入菜单界面。  </w:t>
      </w:r>
    </w:p>
    <w:p w14:paraId="12B0A7F7">
      <w:pPr>
        <w:spacing w:line="360" w:lineRule="auto"/>
        <w:ind w:firstLine="360" w:firstLineChars="200"/>
        <w:jc w:val="left"/>
        <w:rPr>
          <w:rFonts w:ascii="微软雅黑" w:hAnsi="微软雅黑" w:eastAsia="微软雅黑" w:cs="微软雅黑"/>
          <w:b/>
          <w:sz w:val="18"/>
          <w:szCs w:val="18"/>
        </w:rPr>
      </w:pPr>
      <w:r>
        <w:rPr>
          <w:rFonts w:hint="eastAsia" w:ascii="微软雅黑" w:hAnsi="微软雅黑" w:eastAsia="微软雅黑" w:cs="微软雅黑"/>
          <w:sz w:val="18"/>
          <w:szCs w:val="18"/>
        </w:rPr>
        <w:t>进入菜单可点击如上图所示功能按键进行相应参数修改。（</w:t>
      </w:r>
      <w:r>
        <w:rPr>
          <w:rFonts w:hint="eastAsia" w:ascii="微软雅黑" w:hAnsi="微软雅黑" w:eastAsia="微软雅黑" w:cs="微软雅黑"/>
          <w:b/>
          <w:sz w:val="18"/>
          <w:szCs w:val="18"/>
        </w:rPr>
        <w:t>注</w:t>
      </w:r>
      <w:r>
        <w:rPr>
          <w:rFonts w:hint="eastAsia" w:ascii="微软雅黑" w:hAnsi="微软雅黑" w:eastAsia="微软雅黑" w:cs="微软雅黑"/>
          <w:sz w:val="18"/>
          <w:szCs w:val="18"/>
        </w:rPr>
        <w:t>：蓝牙连接功能只有在具有蓝牙打印机且出厂配对连接成功后方可使用，无蓝牙打印功能仪表此设置无效）。</w:t>
      </w:r>
    </w:p>
    <w:p w14:paraId="6FBC692F">
      <w:pPr>
        <w:spacing w:line="360" w:lineRule="auto"/>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菜单各类参数调整详解：</w:t>
      </w:r>
    </w:p>
    <w:p w14:paraId="2F25E6B0">
      <w:pPr>
        <w:spacing w:line="360" w:lineRule="auto"/>
        <w:jc w:val="center"/>
        <w:rPr>
          <w:rFonts w:ascii="微软雅黑" w:hAnsi="微软雅黑" w:eastAsia="微软雅黑" w:cs="微软雅黑"/>
          <w:b/>
          <w:sz w:val="20"/>
          <w:szCs w:val="20"/>
        </w:rPr>
      </w:pPr>
      <w:r>
        <w:drawing>
          <wp:inline distT="0" distB="0" distL="114300" distR="114300">
            <wp:extent cx="1743075" cy="1314450"/>
            <wp:effectExtent l="0" t="0" r="9525" b="6350"/>
            <wp:docPr id="12" name="图片 8" descr="2_用户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2_用户菜单"/>
                    <pic:cNvPicPr>
                      <a:picLocks noChangeAspect="1"/>
                    </pic:cNvPicPr>
                  </pic:nvPicPr>
                  <pic:blipFill>
                    <a:blip r:embed="rId11"/>
                    <a:stretch>
                      <a:fillRect/>
                    </a:stretch>
                  </pic:blipFill>
                  <pic:spPr>
                    <a:xfrm>
                      <a:off x="0" y="0"/>
                      <a:ext cx="1743075" cy="1314450"/>
                    </a:xfrm>
                    <a:prstGeom prst="rect">
                      <a:avLst/>
                    </a:prstGeom>
                    <a:noFill/>
                    <a:ln>
                      <a:noFill/>
                    </a:ln>
                  </pic:spPr>
                </pic:pic>
              </a:graphicData>
            </a:graphic>
          </wp:inline>
        </w:drawing>
      </w:r>
      <w:r>
        <w:drawing>
          <wp:inline distT="0" distB="0" distL="114300" distR="114300">
            <wp:extent cx="1704975" cy="1314450"/>
            <wp:effectExtent l="0" t="0" r="22225" b="6350"/>
            <wp:docPr id="13" name="图片 9"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DS09"/>
                    <pic:cNvPicPr>
                      <a:picLocks noChangeAspect="1"/>
                    </pic:cNvPicPr>
                  </pic:nvPicPr>
                  <pic:blipFill>
                    <a:blip r:embed="rId12"/>
                    <a:stretch>
                      <a:fillRect/>
                    </a:stretch>
                  </pic:blipFill>
                  <pic:spPr>
                    <a:xfrm>
                      <a:off x="0" y="0"/>
                      <a:ext cx="1704975" cy="1314450"/>
                    </a:xfrm>
                    <a:prstGeom prst="rect">
                      <a:avLst/>
                    </a:prstGeom>
                    <a:noFill/>
                    <a:ln>
                      <a:noFill/>
                    </a:ln>
                  </pic:spPr>
                </pic:pic>
              </a:graphicData>
            </a:graphic>
          </wp:inline>
        </w:drawing>
      </w:r>
    </w:p>
    <w:p w14:paraId="7674021B">
      <w:pPr>
        <w:numPr>
          <w:ilvl w:val="0"/>
          <w:numId w:val="6"/>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检测记录：点击检测记录按钮后进入如下图所示检测记录界面。</w:t>
      </w:r>
    </w:p>
    <w:p w14:paraId="754660BC">
      <w:pPr>
        <w:spacing w:line="360" w:lineRule="auto"/>
        <w:jc w:val="center"/>
        <w:rPr>
          <w:rFonts w:ascii="微软雅黑" w:hAnsi="微软雅黑" w:eastAsia="微软雅黑" w:cs="微软雅黑"/>
          <w:sz w:val="30"/>
          <w:szCs w:val="30"/>
        </w:rPr>
      </w:pPr>
      <w:r>
        <w:rPr>
          <w:rFonts w:ascii="微软雅黑" w:hAnsi="微软雅黑" w:eastAsia="微软雅黑" w:cs="微软雅黑"/>
          <w:sz w:val="30"/>
          <w:szCs w:val="30"/>
        </w:rPr>
        <w:drawing>
          <wp:inline distT="0" distB="0" distL="114300" distR="114300">
            <wp:extent cx="1704975" cy="1266825"/>
            <wp:effectExtent l="0" t="0" r="22225" b="3175"/>
            <wp:docPr id="14" name="图片 10" descr="5_检测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5_检测记录"/>
                    <pic:cNvPicPr>
                      <a:picLocks noChangeAspect="1"/>
                    </pic:cNvPicPr>
                  </pic:nvPicPr>
                  <pic:blipFill>
                    <a:blip r:embed="rId13"/>
                    <a:stretch>
                      <a:fillRect/>
                    </a:stretch>
                  </pic:blipFill>
                  <pic:spPr>
                    <a:xfrm>
                      <a:off x="0" y="0"/>
                      <a:ext cx="1704975" cy="1266825"/>
                    </a:xfrm>
                    <a:prstGeom prst="rect">
                      <a:avLst/>
                    </a:prstGeom>
                    <a:noFill/>
                    <a:ln>
                      <a:noFill/>
                    </a:ln>
                  </pic:spPr>
                </pic:pic>
              </a:graphicData>
            </a:graphic>
          </wp:inline>
        </w:drawing>
      </w:r>
      <w:r>
        <w:rPr>
          <w:rFonts w:ascii="微软雅黑" w:hAnsi="微软雅黑" w:eastAsia="微软雅黑" w:cs="微软雅黑"/>
          <w:sz w:val="30"/>
          <w:szCs w:val="30"/>
        </w:rPr>
        <w:drawing>
          <wp:inline distT="0" distB="0" distL="114300" distR="114300">
            <wp:extent cx="1714500" cy="1266825"/>
            <wp:effectExtent l="0" t="0" r="12700" b="3175"/>
            <wp:docPr id="15" name="图片 11" descr="25_无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25_无记录"/>
                    <pic:cNvPicPr>
                      <a:picLocks noChangeAspect="1"/>
                    </pic:cNvPicPr>
                  </pic:nvPicPr>
                  <pic:blipFill>
                    <a:blip r:embed="rId14"/>
                    <a:stretch>
                      <a:fillRect/>
                    </a:stretch>
                  </pic:blipFill>
                  <pic:spPr>
                    <a:xfrm>
                      <a:off x="0" y="0"/>
                      <a:ext cx="1714500" cy="1266825"/>
                    </a:xfrm>
                    <a:prstGeom prst="rect">
                      <a:avLst/>
                    </a:prstGeom>
                    <a:noFill/>
                    <a:ln>
                      <a:noFill/>
                    </a:ln>
                  </pic:spPr>
                </pic:pic>
              </a:graphicData>
            </a:graphic>
          </wp:inline>
        </w:drawing>
      </w:r>
    </w:p>
    <w:p w14:paraId="23250F01">
      <w:pPr>
        <w:spacing w:line="36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有检测记录时显示界面         无检测记录界面显示</w:t>
      </w:r>
    </w:p>
    <w:p w14:paraId="51C83AF7">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上图所示显示内容为保存时间，及其检测浓度值。点击“上一页”或“下一页”可翻看以保存的记录，若当前没有检测记录则显示如上图所示无记录界面，点击“返回”可退出检测记录。点击打印按钮可将当前记录由蓝牙打印机打印输出（仅具有蓝牙打印功能仪表可用）。点击“返回菜单”可退出至菜单界面。</w:t>
      </w:r>
    </w:p>
    <w:p w14:paraId="395B8C07">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2.低报设置：点击低报设置按钮进入低保设置界面，可调整仪表一级报警值，如图</w:t>
      </w:r>
    </w:p>
    <w:p w14:paraId="75FB5BA2">
      <w:pPr>
        <w:spacing w:line="360" w:lineRule="auto"/>
        <w:jc w:val="center"/>
        <w:rPr>
          <w:sz w:val="30"/>
          <w:szCs w:val="30"/>
        </w:rPr>
      </w:pPr>
      <w:r>
        <w:drawing>
          <wp:inline distT="0" distB="0" distL="114300" distR="114300">
            <wp:extent cx="1733550" cy="1295400"/>
            <wp:effectExtent l="0" t="0" r="19050" b="0"/>
            <wp:docPr id="16" name="图片 12" descr="7_低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7_低报设置"/>
                    <pic:cNvPicPr>
                      <a:picLocks noChangeAspect="1"/>
                    </pic:cNvPicPr>
                  </pic:nvPicPr>
                  <pic:blipFill>
                    <a:blip r:embed="rId15"/>
                    <a:stretch>
                      <a:fillRect/>
                    </a:stretch>
                  </pic:blipFill>
                  <pic:spPr>
                    <a:xfrm>
                      <a:off x="0" y="0"/>
                      <a:ext cx="1733550" cy="1295400"/>
                    </a:xfrm>
                    <a:prstGeom prst="rect">
                      <a:avLst/>
                    </a:prstGeom>
                    <a:noFill/>
                    <a:ln>
                      <a:noFill/>
                    </a:ln>
                  </pic:spPr>
                </pic:pic>
              </a:graphicData>
            </a:graphic>
          </wp:inline>
        </w:drawing>
      </w:r>
      <w:r>
        <w:drawing>
          <wp:inline distT="0" distB="0" distL="114300" distR="114300">
            <wp:extent cx="1724025" cy="1295400"/>
            <wp:effectExtent l="0" t="0" r="3175" b="0"/>
            <wp:docPr id="17" name="图片 13"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22_空键盘"/>
                    <pic:cNvPicPr>
                      <a:picLocks noChangeAspect="1"/>
                    </pic:cNvPicPr>
                  </pic:nvPicPr>
                  <pic:blipFill>
                    <a:blip r:embed="rId16"/>
                    <a:stretch>
                      <a:fillRect/>
                    </a:stretch>
                  </pic:blipFill>
                  <pic:spPr>
                    <a:xfrm>
                      <a:off x="0" y="0"/>
                      <a:ext cx="1724025" cy="1295400"/>
                    </a:xfrm>
                    <a:prstGeom prst="rect">
                      <a:avLst/>
                    </a:prstGeom>
                    <a:noFill/>
                    <a:ln>
                      <a:noFill/>
                    </a:ln>
                  </pic:spPr>
                </pic:pic>
              </a:graphicData>
            </a:graphic>
          </wp:inline>
        </w:drawing>
      </w:r>
    </w:p>
    <w:p w14:paraId="3457036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低报值显示区域弹出输入框，输入需要修改的一级报警值如输入“50”点击确定后低报值显示框为50，点击“确定”键保存当前低报值并推出低报设置。点击“返回”键直接退出至菜单界面不对低报值进行修改。</w:t>
      </w:r>
    </w:p>
    <w:p w14:paraId="03D5C16A">
      <w:pPr>
        <w:spacing w:line="360" w:lineRule="auto"/>
        <w:ind w:firstLine="360" w:firstLineChars="200"/>
        <w:jc w:val="left"/>
        <w:rPr>
          <w:sz w:val="18"/>
          <w:szCs w:val="18"/>
        </w:rPr>
      </w:pPr>
      <w:r>
        <w:rPr>
          <w:rFonts w:hint="eastAsia" w:ascii="微软雅黑" w:hAnsi="微软雅黑" w:eastAsia="微软雅黑" w:cs="微软雅黑"/>
          <w:sz w:val="18"/>
          <w:szCs w:val="18"/>
        </w:rPr>
        <w:t>3.高报设置：点击高报设置按钮进入高报设置界面，可调整仪表二级报警值，如图</w:t>
      </w:r>
    </w:p>
    <w:p w14:paraId="29E2D4F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高报值显示区域弹出输入框，输入需要修改的二级报警值如输入“150”点击确定后低报值显示框为150，点击“确定”键保存当前高报值并推出高报设置。点击“返回”键直接退出至菜单界面不对高报值进行修改。</w:t>
      </w:r>
    </w:p>
    <w:p w14:paraId="3642FAEA">
      <w:pPr>
        <w:spacing w:line="360" w:lineRule="auto"/>
        <w:jc w:val="center"/>
        <w:rPr>
          <w:rFonts w:ascii="微软雅黑" w:hAnsi="微软雅黑" w:eastAsia="微软雅黑" w:cs="微软雅黑"/>
          <w:sz w:val="18"/>
          <w:szCs w:val="18"/>
        </w:rPr>
      </w:pPr>
      <w:r>
        <w:drawing>
          <wp:inline distT="0" distB="0" distL="114300" distR="114300">
            <wp:extent cx="1704975" cy="1276350"/>
            <wp:effectExtent l="0" t="0" r="22225" b="19050"/>
            <wp:docPr id="18" name="图片 14" descr="8_高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8_高报设置"/>
                    <pic:cNvPicPr>
                      <a:picLocks noChangeAspect="1"/>
                    </pic:cNvPicPr>
                  </pic:nvPicPr>
                  <pic:blipFill>
                    <a:blip r:embed="rId17"/>
                    <a:stretch>
                      <a:fillRect/>
                    </a:stretch>
                  </pic:blipFill>
                  <pic:spPr>
                    <a:xfrm>
                      <a:off x="0" y="0"/>
                      <a:ext cx="1704975" cy="1276350"/>
                    </a:xfrm>
                    <a:prstGeom prst="rect">
                      <a:avLst/>
                    </a:prstGeom>
                    <a:noFill/>
                    <a:ln>
                      <a:noFill/>
                    </a:ln>
                  </pic:spPr>
                </pic:pic>
              </a:graphicData>
            </a:graphic>
          </wp:inline>
        </w:drawing>
      </w:r>
    </w:p>
    <w:p w14:paraId="2867555E">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4.零点设置：在洁净空气环境下点击零点设置按钮进入零点设置界面，可调整零点值，如图</w:t>
      </w:r>
    </w:p>
    <w:p w14:paraId="49940824">
      <w:pPr>
        <w:spacing w:line="360" w:lineRule="auto"/>
        <w:rPr>
          <w:sz w:val="30"/>
          <w:szCs w:val="30"/>
        </w:rPr>
      </w:pPr>
      <w:r>
        <w:drawing>
          <wp:inline distT="0" distB="0" distL="114300" distR="114300">
            <wp:extent cx="1819275" cy="1371600"/>
            <wp:effectExtent l="0" t="0" r="9525" b="0"/>
            <wp:docPr id="19" name="图片 15"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22_空键盘"/>
                    <pic:cNvPicPr>
                      <a:picLocks noChangeAspect="1"/>
                    </pic:cNvPicPr>
                  </pic:nvPicPr>
                  <pic:blipFill>
                    <a:blip r:embed="rId16"/>
                    <a:stretch>
                      <a:fillRect/>
                    </a:stretch>
                  </pic:blipFill>
                  <pic:spPr>
                    <a:xfrm>
                      <a:off x="0" y="0"/>
                      <a:ext cx="1819275" cy="1371600"/>
                    </a:xfrm>
                    <a:prstGeom prst="rect">
                      <a:avLst/>
                    </a:prstGeom>
                    <a:noFill/>
                    <a:ln>
                      <a:noFill/>
                    </a:ln>
                  </pic:spPr>
                </pic:pic>
              </a:graphicData>
            </a:graphic>
          </wp:inline>
        </w:drawing>
      </w:r>
      <w:r>
        <w:rPr>
          <w:sz w:val="30"/>
          <w:szCs w:val="30"/>
        </w:rPr>
        <w:drawing>
          <wp:inline distT="0" distB="0" distL="114300" distR="114300">
            <wp:extent cx="1819275" cy="1371600"/>
            <wp:effectExtent l="0" t="0" r="9525" b="0"/>
            <wp:docPr id="20" name="图片 16" descr="9_零点平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9_零点平移"/>
                    <pic:cNvPicPr>
                      <a:picLocks noChangeAspect="1"/>
                    </pic:cNvPicPr>
                  </pic:nvPicPr>
                  <pic:blipFill>
                    <a:blip r:embed="rId18"/>
                    <a:stretch>
                      <a:fillRect/>
                    </a:stretch>
                  </pic:blipFill>
                  <pic:spPr>
                    <a:xfrm>
                      <a:off x="0" y="0"/>
                      <a:ext cx="1819275" cy="1371600"/>
                    </a:xfrm>
                    <a:prstGeom prst="rect">
                      <a:avLst/>
                    </a:prstGeom>
                    <a:noFill/>
                    <a:ln>
                      <a:noFill/>
                    </a:ln>
                  </pic:spPr>
                </pic:pic>
              </a:graphicData>
            </a:graphic>
          </wp:inline>
        </w:drawing>
      </w:r>
    </w:p>
    <w:p w14:paraId="09B7FF2F">
      <w:pPr>
        <w:spacing w:line="360" w:lineRule="auto"/>
        <w:ind w:firstLine="360" w:firstLineChars="200"/>
        <w:rPr>
          <w:sz w:val="18"/>
          <w:szCs w:val="18"/>
        </w:rPr>
      </w:pPr>
      <w:r>
        <w:rPr>
          <w:rFonts w:hint="eastAsia" w:ascii="微软雅黑" w:hAnsi="微软雅黑" w:eastAsia="微软雅黑" w:cs="微软雅黑"/>
          <w:sz w:val="18"/>
          <w:szCs w:val="18"/>
        </w:rPr>
        <w:t>当前显示值即为零点值，点击“确定”保存当前零点值并退出至</w:t>
      </w:r>
    </w:p>
    <w:p w14:paraId="75AC6BA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菜单界面，点击“返回”则不对零点值进行操作直接返回至菜单界面。（请谨慎操作，无零点偏移现象仪表禁止操作此步骤）。</w:t>
      </w:r>
    </w:p>
    <w:p w14:paraId="074BC92D">
      <w:pPr>
        <w:spacing w:line="360" w:lineRule="auto"/>
        <w:ind w:firstLine="360" w:firstLineChars="200"/>
        <w:rPr>
          <w:sz w:val="18"/>
          <w:szCs w:val="18"/>
        </w:rPr>
      </w:pPr>
      <w:r>
        <w:rPr>
          <w:rFonts w:hint="eastAsia" w:ascii="微软雅黑" w:hAnsi="微软雅黑" w:eastAsia="微软雅黑" w:cs="微软雅黑"/>
          <w:sz w:val="18"/>
          <w:szCs w:val="18"/>
        </w:rPr>
        <w:t>5.密码设置：点击“修改密码”进入修改密码界面，如图</w:t>
      </w:r>
    </w:p>
    <w:p w14:paraId="53459546">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输入修改后的密码点击“确定”键后弹出提醒框，若确定修改密码则点击“确定”后修改密码完成并推出至菜单界面，点击“返回”键直接退出至菜单界面。（注：密码必须为4位数）。</w:t>
      </w:r>
    </w:p>
    <w:p w14:paraId="03CC7ADE">
      <w:pPr>
        <w:spacing w:line="360" w:lineRule="auto"/>
        <w:jc w:val="center"/>
        <w:rPr>
          <w:rFonts w:ascii="微软雅黑" w:hAnsi="微软雅黑" w:eastAsia="微软雅黑" w:cs="微软雅黑"/>
          <w:sz w:val="18"/>
          <w:szCs w:val="18"/>
        </w:rPr>
      </w:pPr>
      <w:r>
        <w:rPr>
          <w:sz w:val="30"/>
          <w:szCs w:val="30"/>
        </w:rPr>
        <w:drawing>
          <wp:inline distT="0" distB="0" distL="114300" distR="114300">
            <wp:extent cx="1752600" cy="1314450"/>
            <wp:effectExtent l="0" t="0" r="0" b="6350"/>
            <wp:docPr id="21" name="图片 17" descr="19_修改密码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19_修改密码提示"/>
                    <pic:cNvPicPr>
                      <a:picLocks noChangeAspect="1"/>
                    </pic:cNvPicPr>
                  </pic:nvPicPr>
                  <pic:blipFill>
                    <a:blip r:embed="rId19"/>
                    <a:stretch>
                      <a:fillRect/>
                    </a:stretch>
                  </pic:blipFill>
                  <pic:spPr>
                    <a:xfrm>
                      <a:off x="0" y="0"/>
                      <a:ext cx="1752600" cy="1314450"/>
                    </a:xfrm>
                    <a:prstGeom prst="rect">
                      <a:avLst/>
                    </a:prstGeom>
                    <a:noFill/>
                    <a:ln>
                      <a:noFill/>
                    </a:ln>
                  </pic:spPr>
                </pic:pic>
              </a:graphicData>
            </a:graphic>
          </wp:inline>
        </w:drawing>
      </w:r>
      <w:r>
        <w:drawing>
          <wp:inline distT="0" distB="0" distL="114300" distR="114300">
            <wp:extent cx="1752600" cy="1314450"/>
            <wp:effectExtent l="0" t="0" r="0" b="6350"/>
            <wp:docPr id="22" name="图片 18" descr="18_修改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18_修改密码"/>
                    <pic:cNvPicPr>
                      <a:picLocks noChangeAspect="1"/>
                    </pic:cNvPicPr>
                  </pic:nvPicPr>
                  <pic:blipFill>
                    <a:blip r:embed="rId20"/>
                    <a:stretch>
                      <a:fillRect/>
                    </a:stretch>
                  </pic:blipFill>
                  <pic:spPr>
                    <a:xfrm>
                      <a:off x="0" y="0"/>
                      <a:ext cx="1752600" cy="1314450"/>
                    </a:xfrm>
                    <a:prstGeom prst="rect">
                      <a:avLst/>
                    </a:prstGeom>
                    <a:noFill/>
                    <a:ln>
                      <a:noFill/>
                    </a:ln>
                  </pic:spPr>
                </pic:pic>
              </a:graphicData>
            </a:graphic>
          </wp:inline>
        </w:drawing>
      </w:r>
    </w:p>
    <w:p w14:paraId="556DED2D">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6.蓝牙连接：（仅限具有蓝牙打印功能仪表使用）点击“蓝牙连接”进入蓝牙打印机连接功能，如图</w:t>
      </w:r>
    </w:p>
    <w:p w14:paraId="5B761680">
      <w:pPr>
        <w:spacing w:line="360" w:lineRule="auto"/>
        <w:jc w:val="center"/>
        <w:rPr>
          <w:sz w:val="18"/>
          <w:szCs w:val="18"/>
        </w:rPr>
      </w:pPr>
      <w:r>
        <w:rPr>
          <w:sz w:val="18"/>
          <w:szCs w:val="18"/>
        </w:rPr>
        <w:drawing>
          <wp:inline distT="0" distB="0" distL="114300" distR="114300">
            <wp:extent cx="1838325" cy="1381125"/>
            <wp:effectExtent l="0" t="0" r="15875" b="15875"/>
            <wp:docPr id="23" name="图片 19" descr="16_蓝牙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16_蓝牙设置"/>
                    <pic:cNvPicPr>
                      <a:picLocks noChangeAspect="1"/>
                    </pic:cNvPicPr>
                  </pic:nvPicPr>
                  <pic:blipFill>
                    <a:blip r:embed="rId21"/>
                    <a:stretch>
                      <a:fillRect/>
                    </a:stretch>
                  </pic:blipFill>
                  <pic:spPr>
                    <a:xfrm>
                      <a:off x="0" y="0"/>
                      <a:ext cx="1838325" cy="1381125"/>
                    </a:xfrm>
                    <a:prstGeom prst="rect">
                      <a:avLst/>
                    </a:prstGeom>
                    <a:noFill/>
                    <a:ln>
                      <a:noFill/>
                    </a:ln>
                  </pic:spPr>
                </pic:pic>
              </a:graphicData>
            </a:graphic>
          </wp:inline>
        </w:drawing>
      </w:r>
    </w:p>
    <w:p w14:paraId="0AD11CA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当没有连接蓝牙打印机时状态显示“已断开”，当连上蓝牙打印机时状态显示“已连接”。用户可点击“连接”键连接蓝牙打印机，点击“断开”键断开蓝牙打印机，点击“退出”返回至菜单界面。本仪表只能连接一台打印机设备，若多台仪表同时连接不同打印机请在设备出厂前备注。（由于蓝牙设备功耗过高，在不使用蓝牙打印功能时关闭蓝牙打印，延长待机时间）</w:t>
      </w:r>
    </w:p>
    <w:p w14:paraId="7A1E27BD">
      <w:pPr>
        <w:tabs>
          <w:tab w:val="left" w:pos="312"/>
        </w:tabs>
        <w:spacing w:line="360" w:lineRule="auto"/>
        <w:ind w:left="360"/>
        <w:rPr>
          <w:rFonts w:ascii="微软雅黑" w:hAnsi="微软雅黑" w:eastAsia="微软雅黑" w:cs="微软雅黑"/>
          <w:sz w:val="18"/>
          <w:szCs w:val="18"/>
        </w:rPr>
      </w:pPr>
      <w:r>
        <w:rPr>
          <w:rFonts w:ascii="微软雅黑" w:hAnsi="微软雅黑" w:eastAsia="微软雅黑" w:cs="微软雅黑"/>
          <w:sz w:val="18"/>
          <w:szCs w:val="18"/>
        </w:rPr>
        <w:t>7.</w:t>
      </w:r>
      <w:r>
        <w:rPr>
          <w:rFonts w:hint="eastAsia" w:ascii="微软雅黑" w:hAnsi="微软雅黑" w:eastAsia="微软雅黑" w:cs="微软雅黑"/>
          <w:sz w:val="18"/>
          <w:szCs w:val="18"/>
        </w:rPr>
        <w:t>时钟设置：在检测界面点击时钟显示区域进入时钟调整界面，如图</w:t>
      </w:r>
    </w:p>
    <w:p w14:paraId="70D9B1C9">
      <w:pPr>
        <w:spacing w:line="360" w:lineRule="auto"/>
        <w:jc w:val="center"/>
        <w:rPr>
          <w:sz w:val="18"/>
          <w:szCs w:val="18"/>
        </w:rPr>
      </w:pPr>
      <w:r>
        <w:drawing>
          <wp:inline distT="0" distB="0" distL="114300" distR="114300">
            <wp:extent cx="1695450" cy="1304925"/>
            <wp:effectExtent l="0" t="0" r="6350" b="15875"/>
            <wp:docPr id="24" name="图片 20"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descr="DS09"/>
                    <pic:cNvPicPr>
                      <a:picLocks noChangeAspect="1"/>
                    </pic:cNvPicPr>
                  </pic:nvPicPr>
                  <pic:blipFill>
                    <a:blip r:embed="rId22"/>
                    <a:stretch>
                      <a:fillRect/>
                    </a:stretch>
                  </pic:blipFill>
                  <pic:spPr>
                    <a:xfrm>
                      <a:off x="0" y="0"/>
                      <a:ext cx="1695450" cy="1304925"/>
                    </a:xfrm>
                    <a:prstGeom prst="rect">
                      <a:avLst/>
                    </a:prstGeom>
                    <a:noFill/>
                    <a:ln>
                      <a:noFill/>
                    </a:ln>
                  </pic:spPr>
                </pic:pic>
              </a:graphicData>
            </a:graphic>
          </wp:inline>
        </w:drawing>
      </w:r>
    </w:p>
    <w:p w14:paraId="7D1E6718">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如图所示，依次键入值为年、月、日、时、分、秒。所有数据输入完成后点击“确定”完成时钟修改。</w:t>
      </w:r>
    </w:p>
    <w:p w14:paraId="1D37D06F">
      <w:pPr>
        <w:spacing w:line="360" w:lineRule="auto"/>
        <w:rPr>
          <w:rFonts w:hint="eastAsia" w:ascii="微软雅黑" w:hAnsi="微软雅黑" w:eastAsia="微软雅黑" w:cs="微软雅黑"/>
          <w:sz w:val="18"/>
          <w:szCs w:val="18"/>
        </w:rPr>
      </w:pPr>
    </w:p>
    <w:p w14:paraId="76D145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本仪表具有工厂模式功能.输入工厂模式密码,可以进入工厂模式.进行仪表的参数设置和技术参数调整.</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2409"/>
        <w:gridCol w:w="567"/>
        <w:gridCol w:w="2410"/>
      </w:tblGrid>
      <w:tr w14:paraId="64AEBC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920" w:type="dxa"/>
            <w:gridSpan w:val="4"/>
          </w:tcPr>
          <w:p w14:paraId="17A46204">
            <w:pPr>
              <w:spacing w:line="36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工厂菜单列表</w:t>
            </w:r>
          </w:p>
        </w:tc>
      </w:tr>
      <w:tr w14:paraId="75DBA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39D9E97">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w:t>
            </w:r>
          </w:p>
        </w:tc>
        <w:tc>
          <w:tcPr>
            <w:tcW w:w="2409" w:type="dxa"/>
          </w:tcPr>
          <w:p w14:paraId="47030C8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量程设置</w:t>
            </w:r>
          </w:p>
        </w:tc>
        <w:tc>
          <w:tcPr>
            <w:tcW w:w="567" w:type="dxa"/>
          </w:tcPr>
          <w:p w14:paraId="6D59914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8</w:t>
            </w:r>
          </w:p>
        </w:tc>
        <w:tc>
          <w:tcPr>
            <w:tcW w:w="2410" w:type="dxa"/>
          </w:tcPr>
          <w:p w14:paraId="3E8E2422">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单位设置</w:t>
            </w:r>
          </w:p>
        </w:tc>
      </w:tr>
      <w:tr w14:paraId="104A1A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A7C77A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2</w:t>
            </w:r>
          </w:p>
        </w:tc>
        <w:tc>
          <w:tcPr>
            <w:tcW w:w="2409" w:type="dxa"/>
          </w:tcPr>
          <w:p w14:paraId="703600F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低报设置</w:t>
            </w:r>
          </w:p>
        </w:tc>
        <w:tc>
          <w:tcPr>
            <w:tcW w:w="567" w:type="dxa"/>
          </w:tcPr>
          <w:p w14:paraId="048F4D6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9</w:t>
            </w:r>
          </w:p>
        </w:tc>
        <w:tc>
          <w:tcPr>
            <w:tcW w:w="2410" w:type="dxa"/>
          </w:tcPr>
          <w:p w14:paraId="1F1C01C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报警设置</w:t>
            </w:r>
          </w:p>
        </w:tc>
      </w:tr>
      <w:tr w14:paraId="2BE13C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6E530EC">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3</w:t>
            </w:r>
          </w:p>
        </w:tc>
        <w:tc>
          <w:tcPr>
            <w:tcW w:w="2409" w:type="dxa"/>
          </w:tcPr>
          <w:p w14:paraId="1BC23826">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高报设置</w:t>
            </w:r>
          </w:p>
        </w:tc>
        <w:tc>
          <w:tcPr>
            <w:tcW w:w="567" w:type="dxa"/>
          </w:tcPr>
          <w:p w14:paraId="4B196CC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10</w:t>
            </w:r>
          </w:p>
        </w:tc>
        <w:tc>
          <w:tcPr>
            <w:tcW w:w="2410" w:type="dxa"/>
          </w:tcPr>
          <w:p w14:paraId="16DBF51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蓝牙连接</w:t>
            </w:r>
          </w:p>
        </w:tc>
      </w:tr>
      <w:tr w14:paraId="1321C9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93D151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4</w:t>
            </w:r>
          </w:p>
        </w:tc>
        <w:tc>
          <w:tcPr>
            <w:tcW w:w="2409" w:type="dxa"/>
          </w:tcPr>
          <w:p w14:paraId="7550E95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零点平移</w:t>
            </w:r>
          </w:p>
        </w:tc>
        <w:tc>
          <w:tcPr>
            <w:tcW w:w="567" w:type="dxa"/>
          </w:tcPr>
          <w:p w14:paraId="204871E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11</w:t>
            </w:r>
          </w:p>
        </w:tc>
        <w:tc>
          <w:tcPr>
            <w:tcW w:w="2410" w:type="dxa"/>
          </w:tcPr>
          <w:p w14:paraId="0B55C9BF">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检测记录</w:t>
            </w:r>
          </w:p>
        </w:tc>
      </w:tr>
      <w:tr w14:paraId="0D9A36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0300943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5</w:t>
            </w:r>
          </w:p>
        </w:tc>
        <w:tc>
          <w:tcPr>
            <w:tcW w:w="2409" w:type="dxa"/>
          </w:tcPr>
          <w:p w14:paraId="28E7BF2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标定仪表</w:t>
            </w:r>
          </w:p>
        </w:tc>
        <w:tc>
          <w:tcPr>
            <w:tcW w:w="567" w:type="dxa"/>
          </w:tcPr>
          <w:p w14:paraId="04EF0B5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12</w:t>
            </w:r>
          </w:p>
        </w:tc>
        <w:tc>
          <w:tcPr>
            <w:tcW w:w="2410" w:type="dxa"/>
          </w:tcPr>
          <w:p w14:paraId="64E312F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变量调整</w:t>
            </w:r>
          </w:p>
        </w:tc>
      </w:tr>
      <w:tr w14:paraId="7D6402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756C42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6</w:t>
            </w:r>
          </w:p>
        </w:tc>
        <w:tc>
          <w:tcPr>
            <w:tcW w:w="2409" w:type="dxa"/>
          </w:tcPr>
          <w:p w14:paraId="2BF43DC8">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精度设置</w:t>
            </w:r>
          </w:p>
        </w:tc>
        <w:tc>
          <w:tcPr>
            <w:tcW w:w="567" w:type="dxa"/>
          </w:tcPr>
          <w:p w14:paraId="149FAF3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13</w:t>
            </w:r>
          </w:p>
        </w:tc>
        <w:tc>
          <w:tcPr>
            <w:tcW w:w="2410" w:type="dxa"/>
          </w:tcPr>
          <w:p w14:paraId="7AF2015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修改密码</w:t>
            </w:r>
          </w:p>
        </w:tc>
      </w:tr>
      <w:tr w14:paraId="4A84D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3907485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7</w:t>
            </w:r>
          </w:p>
        </w:tc>
        <w:tc>
          <w:tcPr>
            <w:tcW w:w="2409" w:type="dxa"/>
          </w:tcPr>
          <w:p w14:paraId="61BB1AB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名称设置</w:t>
            </w:r>
          </w:p>
        </w:tc>
        <w:tc>
          <w:tcPr>
            <w:tcW w:w="567" w:type="dxa"/>
          </w:tcPr>
          <w:p w14:paraId="4C00DE7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14</w:t>
            </w:r>
          </w:p>
        </w:tc>
        <w:tc>
          <w:tcPr>
            <w:tcW w:w="2410" w:type="dxa"/>
          </w:tcPr>
          <w:p w14:paraId="621E856E">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恢复出厂</w:t>
            </w:r>
          </w:p>
        </w:tc>
      </w:tr>
    </w:tbl>
    <w:p w14:paraId="26B0D61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drawing>
          <wp:anchor distT="0" distB="0" distL="114300" distR="114300" simplePos="0" relativeHeight="251660288" behindDoc="0" locked="0" layoutInCell="1" allowOverlap="1">
            <wp:simplePos x="0" y="0"/>
            <wp:positionH relativeFrom="column">
              <wp:posOffset>2242185</wp:posOffset>
            </wp:positionH>
            <wp:positionV relativeFrom="paragraph">
              <wp:posOffset>137160</wp:posOffset>
            </wp:positionV>
            <wp:extent cx="2133600" cy="1600200"/>
            <wp:effectExtent l="19050" t="0" r="0" b="0"/>
            <wp:wrapNone/>
            <wp:docPr id="4" name="图片 3" descr="4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4_工厂菜单.bmp"/>
                    <pic:cNvPicPr>
                      <a:picLocks noChangeAspect="1"/>
                    </pic:cNvPicPr>
                  </pic:nvPicPr>
                  <pic:blipFill>
                    <a:blip r:embed="rId23"/>
                    <a:stretch>
                      <a:fillRect/>
                    </a:stretch>
                  </pic:blipFill>
                  <pic:spPr>
                    <a:xfrm>
                      <a:off x="0" y="0"/>
                      <a:ext cx="2133600" cy="1600200"/>
                    </a:xfrm>
                    <a:prstGeom prst="rect">
                      <a:avLst/>
                    </a:prstGeom>
                  </pic:spPr>
                </pic:pic>
              </a:graphicData>
            </a:graphic>
          </wp:anchor>
        </w:drawing>
      </w:r>
      <w:r>
        <w:rPr>
          <w:rFonts w:hint="eastAsia" w:ascii="微软雅黑" w:hAnsi="微软雅黑" w:eastAsia="微软雅黑" w:cs="微软雅黑"/>
          <w:sz w:val="18"/>
          <w:szCs w:val="18"/>
        </w:rPr>
        <w:drawing>
          <wp:anchor distT="0" distB="0" distL="114300" distR="114300" simplePos="0" relativeHeight="251661312" behindDoc="0" locked="0" layoutInCell="1" allowOverlap="1">
            <wp:simplePos x="0" y="0"/>
            <wp:positionH relativeFrom="column">
              <wp:posOffset>-110490</wp:posOffset>
            </wp:positionH>
            <wp:positionV relativeFrom="paragraph">
              <wp:posOffset>137160</wp:posOffset>
            </wp:positionV>
            <wp:extent cx="2222500" cy="1666875"/>
            <wp:effectExtent l="19050" t="0" r="6350" b="0"/>
            <wp:wrapNone/>
            <wp:docPr id="3" name="图片 2" descr="3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3_工厂菜单.bmp"/>
                    <pic:cNvPicPr>
                      <a:picLocks noChangeAspect="1"/>
                    </pic:cNvPicPr>
                  </pic:nvPicPr>
                  <pic:blipFill>
                    <a:blip r:embed="rId24"/>
                    <a:stretch>
                      <a:fillRect/>
                    </a:stretch>
                  </pic:blipFill>
                  <pic:spPr>
                    <a:xfrm>
                      <a:off x="0" y="0"/>
                      <a:ext cx="2222500" cy="1666875"/>
                    </a:xfrm>
                    <a:prstGeom prst="rect">
                      <a:avLst/>
                    </a:prstGeom>
                  </pic:spPr>
                </pic:pic>
              </a:graphicData>
            </a:graphic>
          </wp:anchor>
        </w:drawing>
      </w:r>
    </w:p>
    <w:p w14:paraId="7F9837A2">
      <w:pPr>
        <w:spacing w:line="360" w:lineRule="auto"/>
        <w:rPr>
          <w:rFonts w:hint="eastAsia" w:ascii="微软雅黑" w:hAnsi="微软雅黑" w:eastAsia="微软雅黑" w:cs="微软雅黑"/>
          <w:sz w:val="18"/>
          <w:szCs w:val="18"/>
        </w:rPr>
      </w:pPr>
    </w:p>
    <w:p w14:paraId="5DBEEDF8">
      <w:pPr>
        <w:spacing w:line="360" w:lineRule="auto"/>
        <w:rPr>
          <w:rFonts w:hint="eastAsia" w:ascii="微软雅黑" w:hAnsi="微软雅黑" w:eastAsia="微软雅黑" w:cs="微软雅黑"/>
          <w:sz w:val="18"/>
          <w:szCs w:val="18"/>
        </w:rPr>
      </w:pPr>
    </w:p>
    <w:p w14:paraId="26A69804">
      <w:pPr>
        <w:spacing w:line="360" w:lineRule="auto"/>
        <w:rPr>
          <w:rFonts w:hint="eastAsia" w:ascii="微软雅黑" w:hAnsi="微软雅黑" w:eastAsia="微软雅黑" w:cs="微软雅黑"/>
          <w:sz w:val="18"/>
          <w:szCs w:val="18"/>
        </w:rPr>
      </w:pPr>
    </w:p>
    <w:p w14:paraId="0ECDC0F6">
      <w:pPr>
        <w:spacing w:line="360" w:lineRule="auto"/>
        <w:rPr>
          <w:rFonts w:hint="eastAsia" w:ascii="微软雅黑" w:hAnsi="微软雅黑" w:eastAsia="微软雅黑" w:cs="微软雅黑"/>
          <w:sz w:val="18"/>
          <w:szCs w:val="18"/>
        </w:rPr>
      </w:pPr>
    </w:p>
    <w:p w14:paraId="50F71FBF">
      <w:pPr>
        <w:spacing w:line="360" w:lineRule="auto"/>
        <w:rPr>
          <w:rFonts w:hint="eastAsia" w:ascii="微软雅黑" w:hAnsi="微软雅黑" w:eastAsia="微软雅黑" w:cs="微软雅黑"/>
          <w:sz w:val="18"/>
          <w:szCs w:val="18"/>
        </w:rPr>
      </w:pPr>
    </w:p>
    <w:p w14:paraId="584AC29A">
      <w:pPr>
        <w:spacing w:line="360" w:lineRule="auto"/>
        <w:rPr>
          <w:rFonts w:hint="eastAsia" w:ascii="微软雅黑" w:hAnsi="微软雅黑" w:eastAsia="微软雅黑" w:cs="微软雅黑"/>
          <w:sz w:val="18"/>
          <w:szCs w:val="18"/>
        </w:rPr>
      </w:pPr>
    </w:p>
    <w:p w14:paraId="26213595">
      <w:pPr>
        <w:spacing w:line="360" w:lineRule="auto"/>
        <w:rPr>
          <w:rFonts w:hint="eastAsia" w:ascii="微软雅黑" w:hAnsi="微软雅黑" w:eastAsia="微软雅黑" w:cs="微软雅黑"/>
          <w:sz w:val="18"/>
          <w:szCs w:val="18"/>
        </w:rPr>
      </w:pPr>
    </w:p>
    <w:p w14:paraId="3F773B63">
      <w:pPr>
        <w:spacing w:line="360" w:lineRule="auto"/>
        <w:rPr>
          <w:rFonts w:hint="eastAsia" w:ascii="微软雅黑" w:hAnsi="微软雅黑" w:eastAsia="微软雅黑" w:cs="微软雅黑"/>
          <w:sz w:val="18"/>
          <w:szCs w:val="18"/>
        </w:rPr>
      </w:pPr>
    </w:p>
    <w:p w14:paraId="59DE8B00">
      <w:pPr>
        <w:spacing w:line="360" w:lineRule="auto"/>
        <w:rPr>
          <w:rFonts w:hint="eastAsia" w:ascii="微软雅黑" w:hAnsi="微软雅黑" w:eastAsia="微软雅黑" w:cs="微软雅黑"/>
          <w:sz w:val="18"/>
          <w:szCs w:val="18"/>
        </w:rPr>
      </w:pPr>
    </w:p>
    <w:p w14:paraId="48057BF3">
      <w:pPr>
        <w:spacing w:line="360" w:lineRule="auto"/>
        <w:jc w:val="center"/>
        <w:rPr>
          <w:b/>
          <w:sz w:val="36"/>
          <w:szCs w:val="36"/>
        </w:rPr>
      </w:pPr>
      <w:r>
        <w:rPr>
          <w:rFonts w:hint="eastAsia"/>
          <w:b/>
          <w:sz w:val="36"/>
          <w:szCs w:val="36"/>
        </w:rPr>
        <w:t>附录</w:t>
      </w:r>
    </w:p>
    <w:p w14:paraId="490A4489">
      <w:pPr>
        <w:spacing w:line="360" w:lineRule="auto"/>
        <w:rPr>
          <w:b/>
          <w:bCs/>
          <w:sz w:val="24"/>
          <w:szCs w:val="24"/>
        </w:rPr>
      </w:pPr>
      <w:r>
        <w:rPr>
          <w:rFonts w:hint="eastAsia"/>
          <w:b/>
          <w:bCs/>
          <w:sz w:val="24"/>
          <w:szCs w:val="24"/>
        </w:rPr>
        <w:t>部分类型粉尘爆炸下限：</w:t>
      </w:r>
    </w:p>
    <w:tbl>
      <w:tblPr>
        <w:tblStyle w:val="5"/>
        <w:tblW w:w="6380" w:type="dxa"/>
        <w:tblCellSpacing w:w="15" w:type="dxa"/>
        <w:tblInd w:w="0" w:type="dxa"/>
        <w:tblLayout w:type="fixed"/>
        <w:tblCellMar>
          <w:top w:w="15" w:type="dxa"/>
          <w:left w:w="15" w:type="dxa"/>
          <w:bottom w:w="15" w:type="dxa"/>
          <w:right w:w="15" w:type="dxa"/>
        </w:tblCellMar>
      </w:tblPr>
      <w:tblGrid>
        <w:gridCol w:w="1330"/>
        <w:gridCol w:w="1279"/>
        <w:gridCol w:w="1930"/>
        <w:gridCol w:w="61"/>
        <w:gridCol w:w="1780"/>
      </w:tblGrid>
      <w:tr w14:paraId="1D7A271D">
        <w:tblPrEx>
          <w:tblCellMar>
            <w:top w:w="15" w:type="dxa"/>
            <w:left w:w="15" w:type="dxa"/>
            <w:bottom w:w="15" w:type="dxa"/>
            <w:right w:w="15" w:type="dxa"/>
          </w:tblCellMar>
        </w:tblPrEx>
        <w:trPr>
          <w:trHeight w:val="454" w:hRule="atLeast"/>
          <w:tblCellSpacing w:w="15" w:type="dxa"/>
        </w:trPr>
        <w:tc>
          <w:tcPr>
            <w:tcW w:w="1291"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0249C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粉尘种类</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1BB2B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112C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Нижний предел взрываемости, g/m3</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6337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起火点 ℃</w:t>
            </w:r>
          </w:p>
        </w:tc>
      </w:tr>
      <w:tr w14:paraId="120D0E35">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27648D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金属</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69A7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钼</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44892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6619CC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645</w:t>
            </w:r>
          </w:p>
        </w:tc>
      </w:tr>
      <w:tr w14:paraId="15875E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D31BC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BF1E8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42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DE649A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416</w:t>
            </w:r>
          </w:p>
        </w:tc>
      </w:tr>
      <w:tr w14:paraId="579400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BC4961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605D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锌</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5A9FD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A720C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1AB7DB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8F801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BDCAB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A95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F78F0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常温</w:t>
            </w:r>
          </w:p>
        </w:tc>
      </w:tr>
      <w:tr w14:paraId="75EA100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13419B">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882694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189E3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3DF5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775</w:t>
            </w:r>
          </w:p>
        </w:tc>
      </w:tr>
      <w:tr w14:paraId="4579ACC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9861A5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8F635D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53611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E231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1E017A9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AE8A1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0B31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61543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676F60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316</w:t>
            </w:r>
          </w:p>
        </w:tc>
      </w:tr>
      <w:tr w14:paraId="11BF21D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5C1350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D7C6C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A1744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921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5987BD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847BF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3B7C0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硅铁合金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D52F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14C7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860</w:t>
            </w:r>
          </w:p>
        </w:tc>
      </w:tr>
      <w:tr w14:paraId="1DC1F5C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6EF9C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A28837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403AA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B8AB3D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6EE394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B5DECA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260A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镁铝合金</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6DF310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1C878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535</w:t>
            </w:r>
          </w:p>
        </w:tc>
      </w:tr>
      <w:tr w14:paraId="685018E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0B4843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72EB3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锰</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34D7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210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B3E9B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450</w:t>
            </w:r>
          </w:p>
        </w:tc>
      </w:tr>
      <w:tr w14:paraId="470B0840">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C369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热固性塑料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80DF2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绝缘胶木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0EC4F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D9C7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73B2ECD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A2690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27A964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环氧树脂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72DC2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6F7DC0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540</w:t>
            </w:r>
          </w:p>
        </w:tc>
      </w:tr>
      <w:tr w14:paraId="6774A64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366F1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3796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酚甲酰胺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08E53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E5E78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60F681E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00768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E9404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酚糠醛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3B183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ADF7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5CE6491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E72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热塑性塑料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59462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缩乙醛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A27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D266C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2042877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929929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23FA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醇酸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DB7A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177F7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D860F4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15CA1F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4A8D87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乙基纤维素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96F6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D0064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340</w:t>
            </w:r>
          </w:p>
        </w:tc>
      </w:tr>
      <w:tr w14:paraId="406980A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46304D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47A9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合成橡胶</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ECD87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1F749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320</w:t>
            </w:r>
          </w:p>
        </w:tc>
      </w:tr>
      <w:tr w14:paraId="25DE388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B07C8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4699C0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醋酸纤维素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B4C3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8977C4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679F0D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94D7938">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F7686E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四氟乙烯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27A3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ED27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670</w:t>
            </w:r>
          </w:p>
        </w:tc>
      </w:tr>
      <w:tr w14:paraId="72ED655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048AFB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276E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尼龙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F1BA5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436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11C7700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0C74E0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960643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丙酸纤维素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833FCA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47F1B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22EFB08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662804E">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254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EBF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A133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1840DB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5E7D1A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BF6C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聚丙烯腈</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1DC39F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2EBF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4DBE8278">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E46243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CC2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C02B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3C56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419CAA6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220425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16C34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聚对苯二甲酸乙酯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454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556A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857184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CAF7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09659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0EC07E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723FF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660</w:t>
            </w:r>
          </w:p>
        </w:tc>
      </w:tr>
      <w:tr w14:paraId="7B1C24A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68FB3B0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C788F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聚醋酸乙烯酯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38046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96F8A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601052B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8326B8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E66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67B1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15D9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490</w:t>
            </w:r>
          </w:p>
        </w:tc>
      </w:tr>
      <w:tr w14:paraId="6F7A63A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36C7BD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CCB5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38E6E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7504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52FA83A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E2936A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BE5EF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聚乙烯醇</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CA205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A42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4CC638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C23C1F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17B4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甲基纤维素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DCB6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0A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360</w:t>
            </w:r>
          </w:p>
        </w:tc>
      </w:tr>
      <w:tr w14:paraId="307DB85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2269DD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E898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木质素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75F9E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51EF2A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510</w:t>
            </w:r>
          </w:p>
        </w:tc>
      </w:tr>
      <w:tr w14:paraId="223A082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5660C1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75E5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松香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304C1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EB6885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0D2C7266">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6E10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塑料一次原料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7029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己二酸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ACE8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FEB19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19FB9D2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82236C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990A9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酪蛋白</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4F421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6D55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1AA92EB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7155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D1D2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对苯二酸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E818F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D4BB3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65739DB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3AAB6B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93B1DC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多聚甲醛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54AA9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EB809D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718538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9408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8081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对羧基苯甲醛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8B094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CE57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380</w:t>
            </w:r>
          </w:p>
        </w:tc>
      </w:tr>
      <w:tr w14:paraId="5F8C84D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EE2B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塑料填充剂</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143A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软木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A080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379D05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382C9F3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A8E5D8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8CE0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纤维素絮凝物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5219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10D31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40275C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74FD596">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4EA02A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棉花絮凝物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FB0D9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A921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D39499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76D4AF4">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B6FB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32ABE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088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30DC8493">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7BFAA5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农产品及其它</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8286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玉米及淀粉</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C55732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B86E2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6C291E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DD7757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A8A9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大豆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ABAB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08A3B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560</w:t>
            </w:r>
          </w:p>
        </w:tc>
      </w:tr>
      <w:tr w14:paraId="35193DC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65924C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D352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小麦</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27DB9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212F3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23F1893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1D1E0B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EC8E4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花生壳</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DADC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8300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570</w:t>
            </w:r>
          </w:p>
        </w:tc>
      </w:tr>
      <w:tr w14:paraId="44259D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2CDAD4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C147B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砂糖</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4CE8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19</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A5A6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1A3D8DC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70FAA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CBE7A3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煤炭（沥青）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91CC5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FED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610</w:t>
            </w:r>
          </w:p>
        </w:tc>
      </w:tr>
      <w:tr w14:paraId="7272500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CA44D5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424F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肥皂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B6F7AD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25BC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444B01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C5C22B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E622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干浆纸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9377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481B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480</w:t>
            </w:r>
          </w:p>
        </w:tc>
      </w:tr>
    </w:tbl>
    <w:p w14:paraId="333CE3EF">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Примечание: единица отображаемых значений в данном приложении — g/m3. Первый порог сигнализации пылемера следует устанавливать на уровне 2% от нижнего предела взрываемости, второй порог сигнализации — на уровне 5% от нижнего предела взрываемости; для значений выше максимального значения пылемера порог устанавливается по его максимальному измеряемому значению.</w:t>
      </w:r>
    </w:p>
    <w:p w14:paraId="202C562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Пример: нижний предел взрываемости угольной пыли составляет 35g/m3, тогда для данного измерителя нижний порог сигнализации следует установить равным 70mg/m3, второй порог — 135mg/m3; (1g/m3=1000mg/m3)</w:t>
      </w:r>
    </w:p>
    <w:p w14:paraId="04CF8313">
      <w:pPr>
        <w:spacing w:line="360" w:lineRule="auto"/>
        <w:ind w:firstLine="640" w:firstLineChars="200"/>
        <w:rPr>
          <w:rFonts w:ascii="微软雅黑" w:hAnsi="微软雅黑" w:eastAsia="微软雅黑" w:cs="微软雅黑"/>
          <w:sz w:val="32"/>
          <w:szCs w:val="32"/>
        </w:rPr>
      </w:pPr>
    </w:p>
    <w:p w14:paraId="3D5ED98A">
      <w:pPr>
        <w:spacing w:line="360" w:lineRule="auto"/>
        <w:ind w:firstLine="640" w:firstLineChars="200"/>
        <w:rPr>
          <w:rFonts w:ascii="微软雅黑" w:hAnsi="微软雅黑" w:eastAsia="微软雅黑" w:cs="微软雅黑"/>
          <w:sz w:val="32"/>
          <w:szCs w:val="32"/>
        </w:rPr>
      </w:pPr>
    </w:p>
    <w:p w14:paraId="190AD1DA">
      <w:pPr>
        <w:spacing w:line="360" w:lineRule="auto"/>
        <w:ind w:firstLine="640" w:firstLineChars="200"/>
        <w:rPr>
          <w:rFonts w:ascii="微软雅黑" w:hAnsi="微软雅黑" w:eastAsia="微软雅黑" w:cs="微软雅黑"/>
          <w:sz w:val="32"/>
          <w:szCs w:val="32"/>
        </w:rPr>
      </w:pPr>
    </w:p>
    <w:p w14:paraId="60D42900">
      <w:pPr>
        <w:spacing w:line="360" w:lineRule="auto"/>
        <w:ind w:firstLine="640" w:firstLineChars="200"/>
        <w:rPr>
          <w:rFonts w:ascii="微软雅黑" w:hAnsi="微软雅黑" w:eastAsia="微软雅黑" w:cs="微软雅黑"/>
          <w:sz w:val="32"/>
          <w:szCs w:val="32"/>
        </w:rPr>
      </w:pPr>
    </w:p>
    <w:p w14:paraId="7E778585">
      <w:pPr>
        <w:spacing w:line="360" w:lineRule="auto"/>
        <w:ind w:firstLine="640" w:firstLineChars="200"/>
        <w:rPr>
          <w:rFonts w:ascii="微软雅黑" w:hAnsi="微软雅黑" w:eastAsia="微软雅黑" w:cs="微软雅黑"/>
          <w:sz w:val="32"/>
          <w:szCs w:val="32"/>
        </w:rPr>
      </w:pPr>
    </w:p>
    <w:p w14:paraId="197532A3">
      <w:pPr>
        <w:spacing w:line="360" w:lineRule="auto"/>
        <w:ind w:firstLine="640" w:firstLineChars="200"/>
        <w:rPr>
          <w:rFonts w:ascii="微软雅黑" w:hAnsi="微软雅黑" w:eastAsia="微软雅黑" w:cs="微软雅黑"/>
          <w:sz w:val="32"/>
          <w:szCs w:val="32"/>
        </w:rPr>
      </w:pPr>
    </w:p>
    <w:p w14:paraId="15F44D10">
      <w:pPr>
        <w:spacing w:line="360" w:lineRule="auto"/>
        <w:rPr>
          <w:rFonts w:ascii="微软雅黑" w:hAnsi="微软雅黑" w:eastAsia="微软雅黑" w:cs="微软雅黑"/>
          <w:sz w:val="32"/>
          <w:szCs w:val="32"/>
        </w:rPr>
      </w:pPr>
    </w:p>
    <w:p w14:paraId="5219B646">
      <w:pPr>
        <w:spacing w:line="360" w:lineRule="auto"/>
        <w:rPr>
          <w:rFonts w:ascii="微软雅黑" w:hAnsi="微软雅黑" w:eastAsia="微软雅黑" w:cs="微软雅黑"/>
          <w:sz w:val="32"/>
          <w:szCs w:val="32"/>
        </w:rPr>
      </w:pPr>
    </w:p>
    <w:p w14:paraId="3D39E9D9">
      <w:pPr>
        <w:spacing w:line="360" w:lineRule="auto"/>
        <w:rPr>
          <w:rFonts w:ascii="微软雅黑" w:hAnsi="微软雅黑" w:eastAsia="微软雅黑" w:cs="微软雅黑"/>
          <w:sz w:val="32"/>
          <w:szCs w:val="32"/>
        </w:rPr>
      </w:pPr>
    </w:p>
    <w:p w14:paraId="6A319D16">
      <w:pPr>
        <w:spacing w:line="360" w:lineRule="auto"/>
        <w:rPr>
          <w:rFonts w:ascii="微软雅黑" w:hAnsi="微软雅黑" w:eastAsia="微软雅黑" w:cs="微软雅黑"/>
          <w:sz w:val="32"/>
          <w:szCs w:val="32"/>
        </w:rPr>
      </w:pPr>
    </w:p>
    <w:p w14:paraId="67AB41DA">
      <w:pPr>
        <w:spacing w:line="360" w:lineRule="auto"/>
        <w:rPr>
          <w:rFonts w:ascii="微软雅黑" w:hAnsi="微软雅黑" w:eastAsia="微软雅黑" w:cs="微软雅黑"/>
          <w:sz w:val="32"/>
          <w:szCs w:val="32"/>
        </w:rPr>
      </w:pPr>
    </w:p>
    <w:p w14:paraId="6BC3F2DD">
      <w:pPr>
        <w:snapToGrid w:val="0"/>
        <w:spacing w:line="276" w:lineRule="auto"/>
        <w:rPr>
          <w:rFonts w:ascii="宋体" w:hAnsi="宋体"/>
          <w:b/>
          <w:color w:val="000000"/>
          <w:szCs w:val="21"/>
        </w:rPr>
      </w:pPr>
      <w:r>
        <w:rPr>
          <w:rFonts w:hint="eastAsia" w:ascii="宋体" w:hAnsi="宋体"/>
          <w:b/>
          <w:color w:val="000000"/>
          <w:szCs w:val="21"/>
        </w:rPr>
        <w:t>河南欧泰威尔电子科技有限公司</w:t>
      </w:r>
    </w:p>
    <w:p w14:paraId="33C1C579">
      <w:pPr>
        <w:snapToGrid w:val="0"/>
        <w:spacing w:line="276" w:lineRule="auto"/>
        <w:rPr>
          <w:rFonts w:ascii="宋体" w:hAnsi="宋体"/>
          <w:b/>
          <w:szCs w:val="21"/>
        </w:rPr>
      </w:pPr>
      <w:r>
        <w:rPr>
          <w:rFonts w:hint="eastAsia" w:ascii="宋体" w:hAnsi="宋体"/>
          <w:b/>
          <w:szCs w:val="21"/>
        </w:rPr>
        <w:t>生产地址： 郑州高新区西三环149号4-4-3</w:t>
      </w:r>
      <w:r>
        <w:rPr>
          <w:rFonts w:ascii="宋体" w:hAnsi="宋体"/>
          <w:b/>
          <w:szCs w:val="21"/>
        </w:rPr>
        <w:br w:type="textWrapping"/>
      </w:r>
      <w:r>
        <w:rPr>
          <w:rFonts w:hint="eastAsia" w:ascii="宋体" w:hAnsi="宋体"/>
          <w:b/>
          <w:szCs w:val="21"/>
        </w:rPr>
        <w:t>免费电话： 4008118873</w:t>
      </w:r>
    </w:p>
    <w:p w14:paraId="3AA0857E">
      <w:pPr>
        <w:snapToGrid w:val="0"/>
        <w:spacing w:line="276" w:lineRule="auto"/>
        <w:rPr>
          <w:rFonts w:ascii="宋体" w:hAnsi="宋体"/>
          <w:b/>
          <w:szCs w:val="21"/>
        </w:rPr>
      </w:pPr>
      <w:r>
        <w:rPr>
          <w:rFonts w:hint="eastAsia" w:ascii="宋体" w:hAnsi="宋体"/>
          <w:b/>
          <w:szCs w:val="21"/>
        </w:rPr>
        <w:t>电 话</w:t>
      </w:r>
      <w:r>
        <w:rPr>
          <w:rFonts w:ascii="宋体" w:hAnsi="宋体"/>
          <w:b/>
          <w:szCs w:val="21"/>
        </w:rPr>
        <w:t>: 0371-86</w:t>
      </w:r>
      <w:r>
        <w:rPr>
          <w:rFonts w:hint="eastAsia" w:ascii="宋体" w:hAnsi="宋体"/>
          <w:b/>
          <w:szCs w:val="21"/>
        </w:rPr>
        <w:t>189170</w:t>
      </w:r>
      <w:r>
        <w:rPr>
          <w:rFonts w:ascii="宋体" w:hAnsi="宋体"/>
          <w:b/>
          <w:szCs w:val="21"/>
        </w:rPr>
        <w:t xml:space="preserve">  86</w:t>
      </w:r>
      <w:r>
        <w:rPr>
          <w:rFonts w:hint="eastAsia" w:ascii="宋体" w:hAnsi="宋体"/>
          <w:b/>
          <w:szCs w:val="21"/>
        </w:rPr>
        <w:t>189171</w:t>
      </w:r>
    </w:p>
    <w:p w14:paraId="42544AEA">
      <w:pPr>
        <w:snapToGrid w:val="0"/>
        <w:spacing w:line="276" w:lineRule="auto"/>
        <w:rPr>
          <w:rFonts w:ascii="宋体" w:hAnsi="宋体"/>
          <w:b/>
          <w:szCs w:val="21"/>
        </w:rPr>
      </w:pPr>
      <w:r>
        <w:rPr>
          <w:rFonts w:hint="eastAsia" w:ascii="宋体" w:hAnsi="宋体"/>
          <w:b/>
          <w:szCs w:val="21"/>
        </w:rPr>
        <w:t xml:space="preserve">传    真： </w:t>
      </w:r>
      <w:r>
        <w:rPr>
          <w:rFonts w:ascii="宋体" w:hAnsi="宋体"/>
          <w:b/>
          <w:szCs w:val="21"/>
        </w:rPr>
        <w:t>0371-86</w:t>
      </w:r>
      <w:r>
        <w:rPr>
          <w:rFonts w:hint="eastAsia" w:ascii="宋体" w:hAnsi="宋体"/>
          <w:b/>
          <w:szCs w:val="21"/>
        </w:rPr>
        <w:t>628819</w:t>
      </w:r>
    </w:p>
    <w:p w14:paraId="36A9B867">
      <w:pPr>
        <w:snapToGrid w:val="0"/>
        <w:spacing w:line="276" w:lineRule="auto"/>
        <w:rPr>
          <w:rFonts w:ascii="宋体" w:hAnsi="宋体"/>
          <w:b/>
          <w:color w:val="000000"/>
          <w:szCs w:val="21"/>
        </w:rPr>
      </w:pPr>
      <w:r>
        <w:rPr>
          <w:rFonts w:hint="eastAsia" w:ascii="宋体" w:hAnsi="宋体"/>
          <w:b/>
          <w:color w:val="000000"/>
          <w:szCs w:val="21"/>
        </w:rPr>
        <w:t>Сервисный сайт: http://www.otywell.com</w:t>
      </w:r>
    </w:p>
    <w:p w14:paraId="7F7EA274">
      <w:pPr>
        <w:spacing w:line="360" w:lineRule="auto"/>
        <w:rPr>
          <w:rFonts w:ascii="微软雅黑" w:hAnsi="微软雅黑" w:eastAsia="微软雅黑" w:cs="微软雅黑"/>
          <w:sz w:val="20"/>
          <w:szCs w:val="20"/>
        </w:rPr>
      </w:pPr>
    </w:p>
    <w:sectPr>
      <w:pgSz w:w="8419" w:h="11906" w:orient="landscape"/>
      <w:pgMar w:top="1134" w:right="1134" w:bottom="1134" w:left="1134"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F6D18"/>
    <w:multiLevelType w:val="singleLevel"/>
    <w:tmpl w:val="AD7F6D18"/>
    <w:lvl w:ilvl="0" w:tentative="0">
      <w:start w:val="1"/>
      <w:numFmt w:val="decimal"/>
      <w:suff w:val="nothing"/>
      <w:lvlText w:val="（%1）"/>
      <w:lvlJc w:val="left"/>
    </w:lvl>
  </w:abstractNum>
  <w:abstractNum w:abstractNumId="1">
    <w:nsid w:val="B118590D"/>
    <w:multiLevelType w:val="singleLevel"/>
    <w:tmpl w:val="B118590D"/>
    <w:lvl w:ilvl="0" w:tentative="0">
      <w:start w:val="1"/>
      <w:numFmt w:val="bullet"/>
      <w:lvlText w:val=""/>
      <w:lvlJc w:val="left"/>
      <w:pPr>
        <w:ind w:left="420" w:hanging="420"/>
      </w:pPr>
      <w:rPr>
        <w:rFonts w:hint="default" w:ascii="Wingdings" w:hAnsi="Wingdings"/>
      </w:rPr>
    </w:lvl>
  </w:abstractNum>
  <w:abstractNum w:abstractNumId="2">
    <w:nsid w:val="26496942"/>
    <w:multiLevelType w:val="multilevel"/>
    <w:tmpl w:val="26496942"/>
    <w:lvl w:ilvl="0" w:tentative="0">
      <w:start w:val="1"/>
      <w:numFmt w:val="decimal"/>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40FC630D"/>
    <w:multiLevelType w:val="singleLevel"/>
    <w:tmpl w:val="40FC630D"/>
    <w:lvl w:ilvl="0" w:tentative="0">
      <w:start w:val="1"/>
      <w:numFmt w:val="decimal"/>
      <w:suff w:val="space"/>
      <w:lvlText w:val="%1."/>
      <w:lvlJc w:val="left"/>
    </w:lvl>
  </w:abstractNum>
  <w:abstractNum w:abstractNumId="4">
    <w:nsid w:val="599FBD69"/>
    <w:multiLevelType w:val="singleLevel"/>
    <w:tmpl w:val="599FBD69"/>
    <w:lvl w:ilvl="0" w:tentative="0">
      <w:start w:val="1"/>
      <w:numFmt w:val="chineseCounting"/>
      <w:suff w:val="nothing"/>
      <w:lvlText w:val="%1、"/>
      <w:lvlJc w:val="left"/>
    </w:lvl>
  </w:abstractNum>
  <w:abstractNum w:abstractNumId="5">
    <w:nsid w:val="77136C20"/>
    <w:multiLevelType w:val="multilevel"/>
    <w:tmpl w:val="77136C20"/>
    <w:lvl w:ilvl="0" w:tentative="0">
      <w:start w:val="1"/>
      <w:numFmt w:val="japaneseCounting"/>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bookFoldPrinting w:val="1"/>
  <w:bookFoldPrintingSheets w:val="0"/>
  <w:drawingGridVerticalSpacing w:val="160"/>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8AE"/>
    <w:rsid w:val="00003DED"/>
    <w:rsid w:val="000265F1"/>
    <w:rsid w:val="000B4C8C"/>
    <w:rsid w:val="000C0243"/>
    <w:rsid w:val="000E7C7B"/>
    <w:rsid w:val="000F5A55"/>
    <w:rsid w:val="001148E6"/>
    <w:rsid w:val="00114A54"/>
    <w:rsid w:val="00121BAC"/>
    <w:rsid w:val="00130306"/>
    <w:rsid w:val="00134F5F"/>
    <w:rsid w:val="00147D8A"/>
    <w:rsid w:val="00187E9B"/>
    <w:rsid w:val="00205112"/>
    <w:rsid w:val="002216F1"/>
    <w:rsid w:val="00221A2B"/>
    <w:rsid w:val="00222CDA"/>
    <w:rsid w:val="00223F99"/>
    <w:rsid w:val="00295D96"/>
    <w:rsid w:val="002A45DB"/>
    <w:rsid w:val="002B25F5"/>
    <w:rsid w:val="002C4F72"/>
    <w:rsid w:val="0033798B"/>
    <w:rsid w:val="00354E06"/>
    <w:rsid w:val="00387574"/>
    <w:rsid w:val="003C7F5B"/>
    <w:rsid w:val="004145AA"/>
    <w:rsid w:val="0042707B"/>
    <w:rsid w:val="004506FA"/>
    <w:rsid w:val="00497936"/>
    <w:rsid w:val="004A32E3"/>
    <w:rsid w:val="004E1DAC"/>
    <w:rsid w:val="0051314A"/>
    <w:rsid w:val="0059147E"/>
    <w:rsid w:val="005A04EB"/>
    <w:rsid w:val="006939F9"/>
    <w:rsid w:val="006D68BA"/>
    <w:rsid w:val="006F5353"/>
    <w:rsid w:val="00763640"/>
    <w:rsid w:val="007835C0"/>
    <w:rsid w:val="007E28AE"/>
    <w:rsid w:val="00804843"/>
    <w:rsid w:val="00823717"/>
    <w:rsid w:val="00846E2E"/>
    <w:rsid w:val="00847778"/>
    <w:rsid w:val="00870B17"/>
    <w:rsid w:val="00881B04"/>
    <w:rsid w:val="008F38B3"/>
    <w:rsid w:val="009051AF"/>
    <w:rsid w:val="00913702"/>
    <w:rsid w:val="00920FF2"/>
    <w:rsid w:val="00926F23"/>
    <w:rsid w:val="00934EED"/>
    <w:rsid w:val="009B427A"/>
    <w:rsid w:val="009B517F"/>
    <w:rsid w:val="009E1AAB"/>
    <w:rsid w:val="00A30F4A"/>
    <w:rsid w:val="00A5669C"/>
    <w:rsid w:val="00A67471"/>
    <w:rsid w:val="00A859DD"/>
    <w:rsid w:val="00A95139"/>
    <w:rsid w:val="00AE2807"/>
    <w:rsid w:val="00B215DA"/>
    <w:rsid w:val="00B353AA"/>
    <w:rsid w:val="00BD651D"/>
    <w:rsid w:val="00C23905"/>
    <w:rsid w:val="00C47D8B"/>
    <w:rsid w:val="00CB525C"/>
    <w:rsid w:val="00D14031"/>
    <w:rsid w:val="00D634A3"/>
    <w:rsid w:val="00DB6624"/>
    <w:rsid w:val="00DE79F3"/>
    <w:rsid w:val="00E05F4F"/>
    <w:rsid w:val="00E15168"/>
    <w:rsid w:val="00E23869"/>
    <w:rsid w:val="00E31E29"/>
    <w:rsid w:val="00EB4D2C"/>
    <w:rsid w:val="00ED0308"/>
    <w:rsid w:val="00ED4D5A"/>
    <w:rsid w:val="00EF6FEB"/>
    <w:rsid w:val="00F0426A"/>
    <w:rsid w:val="00F1630F"/>
    <w:rsid w:val="00F42D3C"/>
    <w:rsid w:val="00F64077"/>
    <w:rsid w:val="00F71E6C"/>
    <w:rsid w:val="00F74949"/>
    <w:rsid w:val="00F872EA"/>
    <w:rsid w:val="00FA466A"/>
    <w:rsid w:val="00FB6BAE"/>
    <w:rsid w:val="00FD182E"/>
    <w:rsid w:val="00FE45B8"/>
    <w:rsid w:val="00FF0775"/>
    <w:rsid w:val="06344E4C"/>
    <w:rsid w:val="10531E23"/>
    <w:rsid w:val="23854F31"/>
    <w:rsid w:val="298403FF"/>
    <w:rsid w:val="33BA375E"/>
    <w:rsid w:val="3D1C5FCA"/>
    <w:rsid w:val="45887543"/>
    <w:rsid w:val="4E7B1DA3"/>
    <w:rsid w:val="4F62696F"/>
    <w:rsid w:val="4F8041C8"/>
    <w:rsid w:val="53EB2C52"/>
    <w:rsid w:val="563924CC"/>
    <w:rsid w:val="6016406A"/>
    <w:rsid w:val="61F4437A"/>
    <w:rsid w:val="66504674"/>
    <w:rsid w:val="73E51858"/>
    <w:rsid w:val="7B723741"/>
    <w:rsid w:val="7B742D14"/>
    <w:rsid w:val="BF755455"/>
    <w:rsid w:val="FFFD407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semiHidden/>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Hyperlink"/>
    <w:unhideWhenUsed/>
    <w:qFormat/>
    <w:uiPriority w:val="99"/>
    <w:rPr>
      <w:color w:val="0000FF"/>
      <w:u w:val="single"/>
    </w:rPr>
  </w:style>
  <w:style w:type="paragraph" w:customStyle="1" w:styleId="9">
    <w:name w:val="列出段落1"/>
    <w:basedOn w:val="1"/>
    <w:qFormat/>
    <w:uiPriority w:val="99"/>
    <w:pPr>
      <w:ind w:firstLine="420" w:firstLineChars="200"/>
    </w:pPr>
  </w:style>
  <w:style w:type="character" w:customStyle="1" w:styleId="10">
    <w:name w:val="页眉 Char"/>
    <w:link w:val="4"/>
    <w:semiHidden/>
    <w:qFormat/>
    <w:locked/>
    <w:uiPriority w:val="99"/>
    <w:rPr>
      <w:rFonts w:cs="Times New Roman"/>
      <w:sz w:val="18"/>
      <w:szCs w:val="18"/>
    </w:rPr>
  </w:style>
  <w:style w:type="character" w:customStyle="1" w:styleId="11">
    <w:name w:val="页脚 Char"/>
    <w:link w:val="3"/>
    <w:semiHidden/>
    <w:qFormat/>
    <w:locked/>
    <w:uiPriority w:val="99"/>
    <w:rPr>
      <w:rFonts w:cs="Times New Roman"/>
      <w:sz w:val="18"/>
      <w:szCs w:val="18"/>
    </w:rPr>
  </w:style>
  <w:style w:type="character" w:customStyle="1" w:styleId="12">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83ACFBDC-66DC-40A8-A97D-1CD0EE63004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17</Pages>
  <Words>2940</Words>
  <Characters>3300</Characters>
  <Lines>27</Lines>
  <Paragraphs>7</Paragraphs>
  <TotalTime>266</TotalTime>
  <ScaleCrop>false</ScaleCrop>
  <LinksUpToDate>false</LinksUpToDate>
  <CharactersWithSpaces>3395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2017-08-15T20:56:00Z</dcterms:created>
  <dc:creator>Lenovo</dc:creator>
  <cp:lastModifiedBy>小牛同学</cp:lastModifiedBy>
  <dcterms:modified xsi:type="dcterms:W3CDTF">2026-09-15T06:32:11Z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6829F93C27104C8D870B385AE6F373C8_13</vt:lpwstr>
  </property>
</Properties>
</file>