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7B53A2">
      <w:pPr>
        <w:spacing w:line="253" w:lineRule="auto"/>
        <w:rPr>
          <w:rFonts w:ascii="Arial"/>
          <w:sz w:val="21"/>
        </w:rPr>
      </w:pPr>
      <w:bookmarkStart w:id="38" w:name="_GoBack"/>
      <w:bookmarkEnd w:id="38"/>
    </w:p>
    <w:p w14:paraId="5A2BB7CC">
      <w:pPr>
        <w:spacing w:line="253" w:lineRule="auto"/>
        <w:rPr>
          <w:rFonts w:ascii="Arial"/>
          <w:sz w:val="21"/>
        </w:rPr>
      </w:pPr>
    </w:p>
    <w:p w14:paraId="205C84F3">
      <w:pPr>
        <w:spacing w:line="253" w:lineRule="auto"/>
        <w:rPr>
          <w:rFonts w:ascii="Arial"/>
          <w:sz w:val="21"/>
        </w:rPr>
      </w:pPr>
    </w:p>
    <w:p w14:paraId="5932D432">
      <w:pPr>
        <w:spacing w:line="253" w:lineRule="auto"/>
        <w:rPr>
          <w:rFonts w:ascii="Arial"/>
          <w:sz w:val="21"/>
        </w:rPr>
      </w:pPr>
    </w:p>
    <w:p w14:paraId="2E3D2B46">
      <w:pPr>
        <w:spacing w:before="268" w:line="191" w:lineRule="auto"/>
        <w:ind w:left="957"/>
        <w:rPr>
          <w:rFonts w:hint="default" w:ascii="PingFang SC" w:hAnsi="PingFang SC" w:eastAsia="PingFang SC" w:cs="PingFang SC"/>
          <w:sz w:val="59"/>
          <w:szCs w:val="59"/>
          <w:lang w:val="en-US"/>
        </w:rPr>
      </w:pPr>
      <w:r>
        <w:rPr>
          <w:rFonts w:ascii="Times New Roman" w:hAnsi="PingFang SC" w:eastAsia="PingFang SC" w:cs="PingFang SC"/>
          <w:b/>
          <w:bCs/>
          <w:snapToGrid w:val="0"/>
          <w:color w:val="000000"/>
          <w:spacing w:val="38"/>
          <w:kern w:val="0"/>
          <w:sz w:val="59"/>
          <w:szCs w:val="59"/>
          <w:lang w:val="en-US" w:eastAsia="en-US" w:bidi="ar-SA"/>
        </w:rPr>
        <w:t>Instrumento portátil de detección y alarma de gas</w:t>
      </w:r>
    </w:p>
    <w:p w14:paraId="101CD62D">
      <w:pPr>
        <w:spacing w:before="357" w:line="1108" w:lineRule="exact"/>
        <w:ind w:left="3147"/>
        <w:rPr>
          <w:rFonts w:hint="default" w:ascii="PingFang SC" w:hAnsi="PingFang SC" w:eastAsia="PingFang SC" w:cs="PingFang SC"/>
          <w:sz w:val="59"/>
          <w:szCs w:val="59"/>
          <w:lang w:val="en-US"/>
        </w:rPr>
      </w:pPr>
      <w:r>
        <w:rPr>
          <w:rFonts w:ascii="Times New Roman" w:hAnsi="PingFang SC" w:eastAsia="PingFang SC" w:cs="PingFang SC"/>
          <w:b/>
          <w:bCs/>
          <w:snapToGrid w:val="0"/>
          <w:color w:val="000000"/>
          <w:spacing w:val="69"/>
          <w:kern w:val="0"/>
          <w:position w:val="12"/>
          <w:sz w:val="59"/>
          <w:szCs w:val="59"/>
          <w:lang w:val="en-US" w:eastAsia="en-US" w:bidi="ar-SA"/>
        </w:rPr>
        <w:t>OT139</w:t>
      </w:r>
    </w:p>
    <w:p w14:paraId="27A7F734">
      <w:pPr>
        <w:spacing w:before="356" w:line="192" w:lineRule="auto"/>
        <w:ind w:left="2556"/>
        <w:rPr>
          <w:rFonts w:hint="default" w:ascii="PingFang SC" w:hAnsi="PingFang SC" w:eastAsia="PingFang SC" w:cs="PingFang SC"/>
          <w:sz w:val="59"/>
          <w:szCs w:val="59"/>
          <w:lang w:val="en-US"/>
        </w:rPr>
      </w:pPr>
      <w:r>
        <w:rPr>
          <w:rFonts w:ascii="Times New Roman" w:hAnsi="PingFang SC" w:eastAsia="PingFang SC" w:cs="PingFang SC"/>
          <w:b/>
          <w:bCs/>
          <w:snapToGrid w:val="0"/>
          <w:color w:val="000000"/>
          <w:spacing w:val="34"/>
          <w:kern w:val="0"/>
          <w:sz w:val="59"/>
          <w:szCs w:val="59"/>
          <w:lang w:val="en-US" w:eastAsia="en-US" w:bidi="ar-SA"/>
        </w:rPr>
        <w:t>instrucciones de funcionamiento</w:t>
      </w:r>
    </w:p>
    <w:p w14:paraId="4271891E">
      <w:pPr>
        <w:spacing w:line="252" w:lineRule="auto"/>
        <w:rPr>
          <w:rFonts w:ascii="Arial"/>
          <w:sz w:val="21"/>
        </w:rPr>
      </w:pPr>
    </w:p>
    <w:p w14:paraId="5C3400E0">
      <w:pPr>
        <w:spacing w:line="253" w:lineRule="auto"/>
        <w:rPr>
          <w:rFonts w:ascii="Arial"/>
          <w:sz w:val="21"/>
        </w:rPr>
      </w:pPr>
    </w:p>
    <w:p w14:paraId="2C8A3243">
      <w:pPr>
        <w:spacing w:line="253" w:lineRule="auto"/>
        <w:rPr>
          <w:rFonts w:ascii="Arial"/>
          <w:sz w:val="21"/>
        </w:rPr>
      </w:pPr>
    </w:p>
    <w:p w14:paraId="1E4733FC">
      <w:pPr>
        <w:spacing w:line="253" w:lineRule="auto"/>
        <w:rPr>
          <w:rFonts w:ascii="Arial"/>
          <w:sz w:val="21"/>
        </w:rPr>
      </w:pPr>
    </w:p>
    <w:p w14:paraId="7CDC65B2">
      <w:pPr>
        <w:spacing w:line="5999" w:lineRule="exact"/>
        <w:ind w:firstLine="2835"/>
      </w:pPr>
      <w:r>
        <w:rPr>
          <w:position w:val="-119"/>
        </w:rPr>
        <w:drawing>
          <wp:inline distT="0" distB="0" distL="0" distR="0">
            <wp:extent cx="1724025" cy="380873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8"/>
                    <a:stretch>
                      <a:fillRect/>
                    </a:stretch>
                  </pic:blipFill>
                  <pic:spPr>
                    <a:xfrm>
                      <a:off x="0" y="0"/>
                      <a:ext cx="1724434" cy="3809000"/>
                    </a:xfrm>
                    <a:prstGeom prst="rect">
                      <a:avLst/>
                    </a:prstGeom>
                  </pic:spPr>
                </pic:pic>
              </a:graphicData>
            </a:graphic>
          </wp:inline>
        </w:drawing>
      </w:r>
    </w:p>
    <w:p w14:paraId="77FD8FED">
      <w:pPr>
        <w:spacing w:line="256" w:lineRule="auto"/>
        <w:rPr>
          <w:rFonts w:ascii="Arial"/>
          <w:sz w:val="21"/>
        </w:rPr>
      </w:pPr>
    </w:p>
    <w:p w14:paraId="41B4AD75">
      <w:pPr>
        <w:spacing w:line="256" w:lineRule="auto"/>
        <w:rPr>
          <w:rFonts w:ascii="Arial"/>
          <w:sz w:val="21"/>
        </w:rPr>
      </w:pPr>
    </w:p>
    <w:p w14:paraId="112C4C0B">
      <w:pPr>
        <w:spacing w:before="195" w:line="280" w:lineRule="auto"/>
        <w:ind w:left="1983" w:right="972" w:hanging="904"/>
        <w:rPr>
          <w:rFonts w:hint="default" w:ascii="PingFang SC" w:hAnsi="PingFang SC" w:eastAsia="PingFang SC" w:cs="PingFang SC"/>
          <w:sz w:val="30"/>
          <w:szCs w:val="30"/>
          <w:lang w:val="en-US"/>
        </w:rPr>
      </w:pPr>
      <w:r>
        <w:rPr>
          <w:rFonts w:ascii="Times New Roman" w:hAnsi="PingFang SC" w:eastAsia="PingFang SC" w:cs="PingFang SC"/>
          <w:snapToGrid w:val="0"/>
          <w:color w:val="000000"/>
          <w:spacing w:val="1"/>
          <w:kern w:val="0"/>
          <w:sz w:val="30"/>
          <w:szCs w:val="30"/>
          <w:lang w:val="en-US" w:eastAsia="en-US" w:bidi="ar-SA"/>
        </w:rPr>
        <w:t>Henan Outaiwei Electronic Technology Co., Ltd. es una empresa certificada conforme al sistema de gestión de la calidad ISO9001.</w:t>
      </w:r>
    </w:p>
    <w:p w14:paraId="0299CEB8">
      <w:pPr>
        <w:spacing w:line="280" w:lineRule="auto"/>
        <w:rPr>
          <w:rFonts w:ascii="PingFang SC" w:hAnsi="PingFang SC" w:eastAsia="PingFang SC" w:cs="PingFang SC"/>
          <w:sz w:val="30"/>
          <w:szCs w:val="30"/>
        </w:rPr>
        <w:sectPr>
          <w:pgSz w:w="11850" w:h="16783"/>
          <w:pgMar w:top="1426" w:right="1777" w:bottom="0" w:left="1777" w:header="0" w:footer="0" w:gutter="0"/>
          <w:cols w:space="720" w:num="1"/>
        </w:sectPr>
      </w:pPr>
    </w:p>
    <w:p w14:paraId="2C163893">
      <w:pPr>
        <w:spacing w:line="248" w:lineRule="auto"/>
        <w:rPr>
          <w:rFonts w:ascii="Arial"/>
          <w:sz w:val="21"/>
        </w:rPr>
      </w:pPr>
    </w:p>
    <w:p w14:paraId="1944E466">
      <w:pPr>
        <w:spacing w:line="249" w:lineRule="auto"/>
        <w:rPr>
          <w:rFonts w:ascii="Arial"/>
          <w:sz w:val="21"/>
        </w:rPr>
      </w:pPr>
    </w:p>
    <w:p w14:paraId="5B055E39">
      <w:pPr>
        <w:spacing w:line="249" w:lineRule="auto"/>
        <w:rPr>
          <w:rFonts w:ascii="Arial"/>
          <w:sz w:val="21"/>
        </w:rPr>
      </w:pPr>
    </w:p>
    <w:p w14:paraId="03BE8137">
      <w:pPr>
        <w:pStyle w:val="2"/>
        <w:spacing w:before="109" w:line="272" w:lineRule="auto"/>
        <w:ind w:right="2" w:firstLine="482"/>
        <w:jc w:val="both"/>
        <w:rPr>
          <w:rFonts w:hint="default"/>
          <w:lang w:val="en-US"/>
        </w:rPr>
      </w:pPr>
      <w:r>
        <w:rPr>
          <w:rFonts w:ascii="Times New Roman" w:hAnsi="PingFang SC" w:eastAsia="PingFang SC" w:cs="PingFang SC"/>
          <w:snapToGrid w:val="0"/>
          <w:color w:val="000000"/>
          <w:spacing w:val="-1"/>
          <w:kern w:val="0"/>
          <w:sz w:val="24"/>
          <w:szCs w:val="24"/>
          <w:lang w:val="en-US" w:eastAsia="en-US" w:bidi="ar-SA"/>
        </w:rPr>
        <w:t>Gracias por utilizar la serie de productos de Henan Outewell Electronic Technology Co., Ltd. Antes de utilizar este producto, lea atentamente estas instrucciones y siga los pasos de operación indicados para aprovechar al máximo nuestros servicios y evitar daños accidentales al dispositivo u otros incidentes derivados de un manejo inadecuado.</w:t>
      </w:r>
    </w:p>
    <w:p w14:paraId="79109C73">
      <w:pPr>
        <w:spacing w:line="296" w:lineRule="auto"/>
        <w:rPr>
          <w:rFonts w:ascii="Arial"/>
          <w:sz w:val="21"/>
        </w:rPr>
      </w:pPr>
    </w:p>
    <w:p w14:paraId="488A5CB7">
      <w:pPr>
        <w:pStyle w:val="2"/>
        <w:spacing w:before="127" w:line="190" w:lineRule="auto"/>
        <w:ind w:left="3"/>
        <w:rPr>
          <w:rFonts w:hint="default"/>
          <w:sz w:val="28"/>
          <w:szCs w:val="28"/>
          <w:lang w:val="en-US"/>
        </w:rPr>
      </w:pPr>
      <w:r>
        <w:rPr>
          <w:rFonts w:ascii="Times New Roman" w:hAnsi="PingFang SC" w:eastAsia="PingFang SC" w:cs="PingFang SC"/>
          <w:b/>
          <w:bCs/>
          <w:snapToGrid w:val="0"/>
          <w:color w:val="000000"/>
          <w:spacing w:val="-4"/>
          <w:kern w:val="0"/>
          <w:sz w:val="28"/>
          <w:szCs w:val="28"/>
          <w:lang w:val="en-US" w:eastAsia="en-US" w:bidi="ar-SA"/>
        </w:rPr>
        <w:t>Declaración de derechos de autor</w:t>
      </w:r>
    </w:p>
    <w:p w14:paraId="5468BB0A">
      <w:pPr>
        <w:pStyle w:val="2"/>
        <w:spacing w:before="129" w:line="261" w:lineRule="auto"/>
        <w:ind w:left="3" w:right="2" w:firstLine="479"/>
        <w:rPr>
          <w:rFonts w:hint="default"/>
          <w:lang w:val="en-US"/>
        </w:rPr>
      </w:pPr>
      <w:r>
        <w:rPr>
          <w:rFonts w:ascii="Times New Roman" w:hAnsi="PingFang SC" w:eastAsia="PingFang SC" w:cs="PingFang SC"/>
          <w:snapToGrid w:val="0"/>
          <w:color w:val="000000"/>
          <w:spacing w:val="-2"/>
          <w:kern w:val="0"/>
          <w:sz w:val="24"/>
          <w:szCs w:val="24"/>
          <w:lang w:val="en-US" w:eastAsia="en-US" w:bidi="ar-SA"/>
        </w:rPr>
        <w:t>Henan Otywell Electronic Technology Co., Ltd. se adhiere al principio del avance tecnológico y se esfuerza continuamente por mejorar sus productos y su rendimiento. La empresa se reserva el derecho a realizar cualquier modificación del producto sin previo aviso.</w:t>
      </w:r>
    </w:p>
    <w:p w14:paraId="21CE1A78">
      <w:pPr>
        <w:pStyle w:val="2"/>
        <w:spacing w:line="182" w:lineRule="auto"/>
        <w:ind w:left="481"/>
        <w:rPr>
          <w:rFonts w:hint="default"/>
          <w:lang w:val="en-US"/>
        </w:rPr>
      </w:pPr>
      <w:r>
        <w:rPr>
          <w:rFonts w:ascii="Times New Roman" w:hAnsi="PingFang SC" w:eastAsia="PingFang SC" w:cs="PingFang SC"/>
          <w:snapToGrid w:val="0"/>
          <w:color w:val="000000"/>
          <w:spacing w:val="-2"/>
          <w:kern w:val="0"/>
          <w:sz w:val="24"/>
          <w:szCs w:val="24"/>
          <w:lang w:val="en-US" w:eastAsia="en-US" w:bidi="ar-SA"/>
        </w:rPr>
        <w:t>Si el usuario instala, repara o sustituye componentes sin seguir las instrucciones de este manual, será el propio usuario quien asuma las responsabilidades resultantes.</w:t>
      </w:r>
    </w:p>
    <w:p w14:paraId="25DECCB4">
      <w:pPr>
        <w:spacing w:line="387" w:lineRule="auto"/>
        <w:rPr>
          <w:rFonts w:ascii="Arial"/>
          <w:sz w:val="21"/>
        </w:rPr>
      </w:pPr>
    </w:p>
    <w:p w14:paraId="06C1E71A">
      <w:pPr>
        <w:pStyle w:val="2"/>
        <w:spacing w:before="129" w:line="189" w:lineRule="auto"/>
        <w:ind w:left="6"/>
        <w:rPr>
          <w:rFonts w:hint="default"/>
          <w:sz w:val="28"/>
          <w:szCs w:val="28"/>
          <w:lang w:val="en-US"/>
        </w:rPr>
      </w:pPr>
      <w:r>
        <w:rPr>
          <w:rFonts w:ascii="Times New Roman" w:hAnsi="PingFang SC" w:eastAsia="PingFang SC" w:cs="PingFang SC"/>
          <w:b/>
          <w:bCs/>
          <w:snapToGrid w:val="0"/>
          <w:color w:val="000000"/>
          <w:spacing w:val="-4"/>
          <w:kern w:val="0"/>
          <w:sz w:val="28"/>
          <w:szCs w:val="28"/>
          <w:lang w:val="en-US" w:eastAsia="en-US" w:bidi="ar-SA"/>
        </w:rPr>
        <w:t>Guía de servicio al usuario</w:t>
      </w:r>
    </w:p>
    <w:p w14:paraId="5E3A77A0">
      <w:pPr>
        <w:pStyle w:val="2"/>
        <w:spacing w:before="89" w:line="260" w:lineRule="auto"/>
        <w:ind w:left="1" w:right="4" w:firstLine="21"/>
        <w:rPr>
          <w:rFonts w:hint="default"/>
          <w:lang w:val="en-US"/>
        </w:rPr>
      </w:pPr>
      <w:r>
        <w:rPr>
          <w:rFonts w:ascii="Times New Roman" w:hAnsi="PingFang SC" w:eastAsia="PingFang SC" w:cs="PingFang SC"/>
          <w:snapToGrid w:val="0"/>
          <w:color w:val="000000"/>
          <w:spacing w:val="-4"/>
          <w:kern w:val="0"/>
          <w:sz w:val="24"/>
          <w:szCs w:val="24"/>
          <w:lang w:val="en-US" w:eastAsia="en-US" w:bidi="ar-SA"/>
        </w:rPr>
        <w:t>1 Antes de utilizar este producto, verifique atentamente la integridad de los accesorios, la certificación del producto y la tarjeta de garantía del usuario según la lista de fábrica. Si detecta alguna falta, contacte inmediatamente con el vendedor o el fabricante.</w:t>
      </w:r>
    </w:p>
    <w:p w14:paraId="6F6DB610">
      <w:pPr>
        <w:pStyle w:val="2"/>
        <w:spacing w:before="3" w:line="259" w:lineRule="auto"/>
        <w:ind w:left="1" w:right="4" w:firstLine="11"/>
        <w:rPr>
          <w:rFonts w:hint="default"/>
          <w:lang w:val="en-US"/>
        </w:rPr>
      </w:pPr>
      <w:r>
        <w:rPr>
          <w:rFonts w:ascii="Times New Roman" w:hAnsi="PingFang SC" w:eastAsia="PingFang SC" w:cs="PingFang SC"/>
          <w:snapToGrid w:val="0"/>
          <w:color w:val="000000"/>
          <w:spacing w:val="-3"/>
          <w:kern w:val="0"/>
          <w:sz w:val="24"/>
          <w:szCs w:val="24"/>
          <w:lang w:val="en-US" w:eastAsia="en-US" w:bidi="ar-SA"/>
        </w:rPr>
        <w:t>2 Para este producto, dentro de los doce meses siguientes a la fecha de venta, si el usuario cumple los requisitos de almacenamiento, transporte y uso pero la calidad del producto es inferior a las especificaciones técnicas, se ofrecerá reparación gratuita previa presentación del certificado de garantía.</w:t>
      </w:r>
    </w:p>
    <w:p w14:paraId="2FB5ECAB">
      <w:pPr>
        <w:pStyle w:val="2"/>
        <w:spacing w:before="2" w:line="233" w:lineRule="auto"/>
        <w:ind w:left="2" w:right="4" w:firstLine="12"/>
        <w:rPr>
          <w:rFonts w:hint="default"/>
          <w:lang w:val="en-US"/>
        </w:rPr>
      </w:pPr>
      <w:r>
        <w:rPr>
          <w:rFonts w:ascii="Times New Roman" w:hAnsi="PingFang SC" w:eastAsia="PingFang SC" w:cs="PingFang SC"/>
          <w:snapToGrid w:val="0"/>
          <w:color w:val="000000"/>
          <w:spacing w:val="-2"/>
          <w:kern w:val="0"/>
          <w:sz w:val="24"/>
          <w:szCs w:val="24"/>
          <w:lang w:val="en-US" w:eastAsia="en-US" w:bidi="ar-SA"/>
        </w:rPr>
        <w:t>3 Por los daños causados por el incumplimiento de las normas y requisitos de operación, los fallos no reparados por el departamento de servicio técnico autorizado designado por nuestra empresa o los problemas de calidad del producto derivados de causas de fuerza mayor, nuestra empresa cobrará los servicios de reparación.</w:t>
      </w:r>
    </w:p>
    <w:p w14:paraId="5AFE5033">
      <w:pPr>
        <w:pStyle w:val="2"/>
        <w:spacing w:before="97" w:line="222" w:lineRule="auto"/>
        <w:rPr>
          <w:rFonts w:hint="default"/>
          <w:lang w:val="en-US"/>
        </w:rPr>
      </w:pPr>
      <w:r>
        <w:rPr>
          <w:rFonts w:ascii="Times New Roman" w:hAnsi="PingFang SC" w:eastAsia="PingFang SC" w:cs="PingFang SC"/>
          <w:snapToGrid w:val="0"/>
          <w:color w:val="000000"/>
          <w:spacing w:val="-2"/>
          <w:kern w:val="0"/>
          <w:sz w:val="24"/>
          <w:szCs w:val="24"/>
          <w:lang w:val="en-US" w:eastAsia="en-US" w:bidi="ar-SA"/>
        </w:rPr>
        <w:t>4 Al someter el producto a mantenimiento, presente de forma proactiva la tarjeta de garantía del producto. La no presentación de la tarjeta de garantía dará lugar a reparaciones de pago.</w:t>
      </w:r>
    </w:p>
    <w:p w14:paraId="336EC0C5">
      <w:pPr>
        <w:pStyle w:val="2"/>
        <w:spacing w:before="72" w:line="242" w:lineRule="auto"/>
        <w:ind w:left="1" w:right="2" w:firstLine="18"/>
        <w:rPr>
          <w:rFonts w:hint="default"/>
          <w:lang w:val="en-US"/>
        </w:rPr>
      </w:pPr>
      <w:r>
        <w:rPr>
          <w:rFonts w:ascii="Times New Roman" w:hAnsi="PingFang SC" w:eastAsia="PingFang SC" w:cs="PingFang SC"/>
          <w:snapToGrid w:val="0"/>
          <w:color w:val="000000"/>
          <w:spacing w:val="-4"/>
          <w:kern w:val="0"/>
          <w:sz w:val="24"/>
          <w:szCs w:val="24"/>
          <w:lang w:val="en-US" w:eastAsia="en-US" w:bidi="ar-SA"/>
        </w:rPr>
        <w:t>5. Después del mantenimiento o la reparación del producto, presente este manual. El personal de mantenimiento rellenará y firmará el "Registro de estado de mantenimiento y reparación" adjunto. Además, firme el registro para confirmar los detalles del mantenimiento o la reparación y aportar sus valiosas observaciones. Los usuarios institucionales deben estampar el sello oficial.</w:t>
      </w:r>
    </w:p>
    <w:p w14:paraId="23E383C1">
      <w:pPr>
        <w:pStyle w:val="2"/>
        <w:spacing w:before="97" w:line="233" w:lineRule="auto"/>
        <w:ind w:firstLine="12"/>
        <w:rPr>
          <w:rFonts w:hint="default"/>
          <w:lang w:val="en-US"/>
        </w:rPr>
      </w:pPr>
      <w:r>
        <w:rPr>
          <w:rFonts w:ascii="Times New Roman" w:hAnsi="PingFang SC" w:eastAsia="PingFang SC" w:cs="PingFang SC"/>
          <w:snapToGrid w:val="0"/>
          <w:color w:val="000000"/>
          <w:spacing w:val="-5"/>
          <w:kern w:val="0"/>
          <w:sz w:val="24"/>
          <w:szCs w:val="24"/>
          <w:lang w:val="en-US" w:eastAsia="en-US" w:bidi="ar-SA"/>
        </w:rPr>
        <w:t>6. Si tiene cualquier duda o inquietud respecto a nuestros productos y servicios —incluidas las especificaciones técnicas, la calidad, la instalación y el mantenimiento, la actitud del servicio o los precios—, le rogamos que se ponga en contacto con nosotros cuanto antes. Atenderemos sus comentarios con la debida atención.</w:t>
      </w:r>
    </w:p>
    <w:p w14:paraId="02C59F16">
      <w:pPr>
        <w:pStyle w:val="2"/>
        <w:spacing w:before="249" w:line="189" w:lineRule="auto"/>
        <w:ind w:left="3"/>
        <w:rPr>
          <w:rFonts w:hint="default"/>
          <w:lang w:val="en-US"/>
        </w:rPr>
      </w:pPr>
      <w:r>
        <w:rPr>
          <w:rFonts w:ascii="Times New Roman" w:hAnsi="PingFang SC" w:eastAsia="PingFang SC" w:cs="PingFang SC"/>
          <w:b/>
          <w:bCs/>
          <w:snapToGrid w:val="0"/>
          <w:color w:val="000000"/>
          <w:spacing w:val="-3"/>
          <w:kern w:val="0"/>
          <w:sz w:val="24"/>
          <w:szCs w:val="24"/>
          <w:lang w:val="en-US" w:eastAsia="en-US" w:bidi="ar-SA"/>
        </w:rPr>
        <w:t>Advertencia: está terminantemente prohibido cargar los detectores o abrir las tapas mientras están encendidos en el lugar de trabajo.</w:t>
      </w:r>
    </w:p>
    <w:p w14:paraId="3962D5B8">
      <w:pPr>
        <w:spacing w:line="189" w:lineRule="auto"/>
        <w:sectPr>
          <w:pgSz w:w="11850" w:h="16783"/>
          <w:pgMar w:top="1426" w:right="1131" w:bottom="0" w:left="1134" w:header="0" w:footer="0" w:gutter="0"/>
          <w:cols w:space="720" w:num="1"/>
        </w:sectPr>
      </w:pPr>
    </w:p>
    <w:p w14:paraId="49D63879">
      <w:pPr>
        <w:spacing w:line="285" w:lineRule="auto"/>
        <w:rPr>
          <w:rFonts w:ascii="Arial"/>
          <w:sz w:val="21"/>
        </w:rPr>
      </w:pPr>
    </w:p>
    <w:p w14:paraId="3AFE4077">
      <w:pPr>
        <w:spacing w:line="285" w:lineRule="auto"/>
        <w:rPr>
          <w:rFonts w:ascii="Arial"/>
          <w:sz w:val="21"/>
        </w:rPr>
      </w:pPr>
    </w:p>
    <w:sdt>
      <w:sdtPr>
        <w:rPr>
          <w:rFonts w:ascii="PingFang SC" w:hAnsi="PingFang SC" w:eastAsia="PingFang SC" w:cs="PingFang SC"/>
          <w:sz w:val="40"/>
          <w:szCs w:val="40"/>
        </w:rPr>
        <w:id w:val="825816787"/>
        <w:docPartObj>
          <w:docPartGallery w:val="Table of Contents"/>
          <w:docPartUnique/>
        </w:docPartObj>
      </w:sdtPr>
      <w:sdtEndPr>
        <w:rPr>
          <w:rFonts w:ascii="Times New Roman" w:hAnsi="Times New Roman" w:eastAsia="Times New Roman" w:cs="Times New Roman"/>
          <w:sz w:val="24"/>
          <w:szCs w:val="24"/>
        </w:rPr>
      </w:sdtEndPr>
      <w:sdtContent>
        <w:p w14:paraId="0C855081">
          <w:pPr>
            <w:pStyle w:val="2"/>
            <w:spacing w:before="182" w:line="191" w:lineRule="auto"/>
            <w:ind w:left="4079"/>
            <w:rPr>
              <w:rFonts w:hint="default"/>
              <w:sz w:val="40"/>
              <w:szCs w:val="40"/>
              <w:lang w:val="en-US"/>
            </w:rPr>
          </w:pPr>
          <w:r>
            <w:rPr>
              <w:rFonts w:ascii="Times New Roman" w:hAnsi="PingFang SC" w:eastAsia="PingFang SC" w:cs="PingFang SC"/>
              <w:b/>
              <w:bCs/>
              <w:snapToGrid w:val="0"/>
              <w:color w:val="000000"/>
              <w:spacing w:val="-50"/>
              <w:kern w:val="0"/>
              <w:sz w:val="40"/>
              <w:szCs w:val="40"/>
              <w:lang w:val="en-US" w:eastAsia="en-US" w:bidi="ar-SA"/>
            </w:rPr>
            <w:t>catálogo</w:t>
          </w:r>
        </w:p>
        <w:p w14:paraId="7C604CD7">
          <w:pPr>
            <w:spacing w:line="255" w:lineRule="auto"/>
            <w:rPr>
              <w:rFonts w:ascii="Arial"/>
              <w:sz w:val="21"/>
            </w:rPr>
          </w:pPr>
        </w:p>
        <w:p w14:paraId="219E940E">
          <w:pPr>
            <w:spacing w:line="256" w:lineRule="auto"/>
            <w:rPr>
              <w:rFonts w:ascii="Arial"/>
              <w:sz w:val="21"/>
            </w:rPr>
          </w:pPr>
        </w:p>
        <w:p w14:paraId="212BEC0B">
          <w:pPr>
            <w:spacing w:line="256" w:lineRule="auto"/>
            <w:rPr>
              <w:rFonts w:ascii="Arial"/>
              <w:sz w:val="21"/>
            </w:rPr>
          </w:pPr>
        </w:p>
        <w:p w14:paraId="4058383F">
          <w:pPr>
            <w:pStyle w:val="2"/>
            <w:tabs>
              <w:tab w:val="right" w:leader="dot" w:pos="9582"/>
            </w:tabs>
            <w:spacing w:before="110" w:line="187" w:lineRule="auto"/>
            <w:ind w:left="2"/>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29"/>
              <w:kern w:val="0"/>
              <w:sz w:val="24"/>
              <w:szCs w:val="24"/>
              <w:lang w:val="en-US" w:eastAsia="en-US" w:bidi="ar-SA"/>
            </w:rPr>
            <w:t>I. Descripción general 1 1</w:t>
          </w:r>
          <w:r>
            <w:rPr>
              <w:rFonts w:ascii="Times New Roman" w:hAnsi="Times New Roman" w:eastAsia="Times New Roman" w:cs="Times New Roman"/>
              <w:snapToGrid w:val="0"/>
              <w:color w:val="000000"/>
              <w:spacing w:val="-29"/>
              <w:kern w:val="0"/>
              <w:sz w:val="24"/>
              <w:szCs w:val="24"/>
              <w:lang w:val="en-US" w:eastAsia="en-US" w:bidi="ar-SA"/>
            </w:rPr>
            <w:tab/>
          </w:r>
          <w:r>
            <w:rPr>
              <w:rFonts w:ascii="Times New Roman" w:hAnsi="Times New Roman" w:eastAsia="Times New Roman" w:cs="Times New Roman"/>
              <w:snapToGrid w:val="0"/>
              <w:color w:val="000000"/>
              <w:spacing w:val="-29"/>
              <w:kern w:val="0"/>
              <w:sz w:val="24"/>
              <w:szCs w:val="24"/>
              <w:lang w:val="en-US" w:eastAsia="en-US" w:bidi="ar-SA"/>
            </w:rPr>
            <w:t xml:space="preserve"/>
          </w:r>
        </w:p>
        <w:p w14:paraId="263EC987">
          <w:pPr>
            <w:spacing w:line="290" w:lineRule="auto"/>
            <w:rPr>
              <w:rFonts w:ascii="Arial"/>
              <w:sz w:val="21"/>
            </w:rPr>
          </w:pPr>
        </w:p>
        <w:p w14:paraId="6FCA8CE9">
          <w:pPr>
            <w:pStyle w:val="2"/>
            <w:tabs>
              <w:tab w:val="right" w:leader="dot" w:pos="9582"/>
            </w:tabs>
            <w:spacing w:before="109" w:line="189" w:lineRule="auto"/>
            <w:ind w:left="5"/>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12"/>
              <w:kern w:val="0"/>
              <w:sz w:val="24"/>
              <w:szCs w:val="24"/>
              <w:lang w:val="en-US" w:eastAsia="en-US" w:bidi="ar-SA"/>
            </w:rPr>
            <w:t>II. Especificaciones técnicas principales 22</w:t>
          </w:r>
          <w:r>
            <w:rPr>
              <w:rFonts w:ascii="Times New Roman" w:hAnsi="Times New Roman" w:eastAsia="Times New Roman" w:cs="Times New Roman"/>
              <w:snapToGrid w:val="0"/>
              <w:color w:val="000000"/>
              <w:spacing w:val="12"/>
              <w:kern w:val="0"/>
              <w:sz w:val="24"/>
              <w:szCs w:val="24"/>
              <w:lang w:val="en-US" w:eastAsia="en-US" w:bidi="ar-SA"/>
            </w:rPr>
            <w:tab/>
          </w:r>
          <w:r>
            <w:rPr>
              <w:rFonts w:ascii="Times New Roman" w:hAnsi="Times New Roman" w:eastAsia="Times New Roman" w:cs="Times New Roman"/>
              <w:snapToGrid w:val="0"/>
              <w:color w:val="000000"/>
              <w:spacing w:val="12"/>
              <w:kern w:val="0"/>
              <w:sz w:val="24"/>
              <w:szCs w:val="24"/>
              <w:lang w:val="en-US" w:eastAsia="en-US" w:bidi="ar-SA"/>
            </w:rPr>
            <w:t/>
          </w:r>
        </w:p>
        <w:p w14:paraId="750D3CEE">
          <w:pPr>
            <w:spacing w:line="287" w:lineRule="auto"/>
            <w:rPr>
              <w:rFonts w:ascii="Arial"/>
              <w:sz w:val="21"/>
            </w:rPr>
          </w:pPr>
        </w:p>
        <w:p w14:paraId="65189078">
          <w:pPr>
            <w:pStyle w:val="2"/>
            <w:tabs>
              <w:tab w:val="right" w:leader="dot" w:pos="9582"/>
            </w:tabs>
            <w:spacing w:before="110" w:line="189" w:lineRule="auto"/>
            <w:ind w:left="5"/>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12"/>
              <w:kern w:val="0"/>
              <w:sz w:val="24"/>
              <w:szCs w:val="24"/>
              <w:lang w:val="en-US" w:eastAsia="en-US" w:bidi="ar-SA"/>
            </w:rPr>
            <w:t>III. Aspecto natural e indicaciones funcionales 33</w:t>
          </w:r>
          <w:r>
            <w:rPr>
              <w:rFonts w:ascii="Times New Roman" w:hAnsi="Times New Roman" w:eastAsia="Times New Roman" w:cs="Times New Roman"/>
              <w:snapToGrid w:val="0"/>
              <w:color w:val="000000"/>
              <w:spacing w:val="12"/>
              <w:kern w:val="0"/>
              <w:sz w:val="24"/>
              <w:szCs w:val="24"/>
              <w:lang w:val="en-US" w:eastAsia="en-US" w:bidi="ar-SA"/>
            </w:rPr>
            <w:tab/>
          </w:r>
          <w:r>
            <w:rPr>
              <w:rFonts w:ascii="Times New Roman" w:hAnsi="Times New Roman" w:eastAsia="Times New Roman" w:cs="Times New Roman"/>
              <w:snapToGrid w:val="0"/>
              <w:color w:val="000000"/>
              <w:spacing w:val="12"/>
              <w:kern w:val="0"/>
              <w:sz w:val="24"/>
              <w:szCs w:val="24"/>
              <w:lang w:val="en-US" w:eastAsia="en-US" w:bidi="ar-SA"/>
            </w:rPr>
            <w:t/>
          </w:r>
        </w:p>
        <w:p w14:paraId="552F6BC0">
          <w:pPr>
            <w:spacing w:line="291" w:lineRule="auto"/>
            <w:rPr>
              <w:rFonts w:ascii="Arial"/>
              <w:sz w:val="21"/>
            </w:rPr>
          </w:pPr>
        </w:p>
        <w:p w14:paraId="58FED969">
          <w:pPr>
            <w:pStyle w:val="2"/>
            <w:tabs>
              <w:tab w:val="right" w:leader="dot" w:pos="9582"/>
            </w:tabs>
            <w:spacing w:before="109" w:line="188" w:lineRule="auto"/>
            <w:ind w:left="20"/>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12"/>
              <w:kern w:val="0"/>
              <w:sz w:val="24"/>
              <w:szCs w:val="24"/>
              <w:lang w:val="en-US" w:eastAsia="en-US" w:bidi="ar-SA"/>
            </w:rPr>
            <w:t>IV. Instrucciones de manejo 44</w:t>
          </w:r>
          <w:r>
            <w:rPr>
              <w:rFonts w:ascii="Times New Roman" w:hAnsi="Times New Roman" w:eastAsia="Times New Roman" w:cs="Times New Roman"/>
              <w:snapToGrid w:val="0"/>
              <w:color w:val="000000"/>
              <w:spacing w:val="12"/>
              <w:kern w:val="0"/>
              <w:sz w:val="24"/>
              <w:szCs w:val="24"/>
              <w:lang w:val="en-US" w:eastAsia="en-US" w:bidi="ar-SA"/>
            </w:rPr>
            <w:tab/>
          </w:r>
          <w:r>
            <w:rPr>
              <w:rFonts w:ascii="Times New Roman" w:hAnsi="Times New Roman" w:eastAsia="Times New Roman" w:cs="Times New Roman"/>
              <w:snapToGrid w:val="0"/>
              <w:color w:val="000000"/>
              <w:spacing w:val="12"/>
              <w:kern w:val="0"/>
              <w:sz w:val="24"/>
              <w:szCs w:val="24"/>
              <w:lang w:val="en-US" w:eastAsia="en-US" w:bidi="ar-SA"/>
            </w:rPr>
            <w:t/>
          </w:r>
        </w:p>
        <w:p w14:paraId="27C64E60">
          <w:pPr>
            <w:spacing w:line="245" w:lineRule="auto"/>
            <w:rPr>
              <w:rFonts w:ascii="Arial"/>
              <w:sz w:val="21"/>
            </w:rPr>
          </w:pPr>
        </w:p>
        <w:p w14:paraId="2C1D58D7">
          <w:pPr>
            <w:pStyle w:val="2"/>
            <w:tabs>
              <w:tab w:val="left" w:pos="23"/>
              <w:tab w:val="right" w:leader="dot" w:pos="9582"/>
            </w:tabs>
            <w:spacing w:before="109" w:line="229" w:lineRule="auto"/>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11"/>
              <w:kern w:val="0"/>
              <w:sz w:val="24"/>
              <w:szCs w:val="24"/>
              <w:lang w:val="en-US" w:eastAsia="en-US" w:bidi="ar-SA"/>
            </w:rPr>
            <w:tab/>
          </w:r>
          <w:r>
            <w:rPr>
              <w:rFonts w:ascii="Times New Roman" w:hAnsi="Times New Roman" w:eastAsia="Times New Roman" w:cs="Times New Roman"/>
              <w:snapToGrid w:val="0"/>
              <w:color w:val="000000"/>
              <w:spacing w:val="-11"/>
              <w:kern w:val="0"/>
              <w:sz w:val="24"/>
              <w:szCs w:val="24"/>
              <w:lang w:val="en-US" w:eastAsia="en-US" w:bidi="ar-SA"/>
            </w:rPr>
            <w:t>1. Configuración de canales 6 6</w:t>
          </w:r>
          <w:r>
            <w:rPr>
              <w:rFonts w:ascii="Times New Roman" w:hAnsi="Times New Roman" w:eastAsia="Times New Roman" w:cs="Times New Roman"/>
              <w:snapToGrid w:val="0"/>
              <w:color w:val="000000"/>
              <w:spacing w:val="-11"/>
              <w:kern w:val="0"/>
              <w:sz w:val="24"/>
              <w:szCs w:val="24"/>
              <w:lang w:val="en-US" w:eastAsia="en-US" w:bidi="ar-SA"/>
            </w:rPr>
            <w:tab/>
          </w:r>
          <w:r>
            <w:rPr>
              <w:rFonts w:ascii="Times New Roman" w:hAnsi="Times New Roman" w:eastAsia="Times New Roman" w:cs="Times New Roman"/>
              <w:snapToGrid w:val="0"/>
              <w:color w:val="000000"/>
              <w:spacing w:val="-11"/>
              <w:kern w:val="0"/>
              <w:sz w:val="24"/>
              <w:szCs w:val="24"/>
              <w:lang w:val="en-US" w:eastAsia="en-US" w:bidi="ar-SA"/>
            </w:rPr>
            <w:t xml:space="preserve"/>
          </w:r>
        </w:p>
        <w:p w14:paraId="529A7A0D">
          <w:pPr>
            <w:pStyle w:val="2"/>
            <w:tabs>
              <w:tab w:val="right" w:leader="dot" w:pos="9582"/>
            </w:tabs>
            <w:spacing w:before="327" w:line="229" w:lineRule="auto"/>
            <w:ind w:left="12"/>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11"/>
              <w:kern w:val="0"/>
              <w:sz w:val="24"/>
              <w:szCs w:val="24"/>
              <w:lang w:val="en-US" w:eastAsia="en-US" w:bidi="ar-SA"/>
            </w:rPr>
            <w:t>2. Ajuste de la hora 6 6</w:t>
          </w:r>
          <w:r>
            <w:rPr>
              <w:rFonts w:ascii="Times New Roman" w:hAnsi="Times New Roman" w:eastAsia="Times New Roman" w:cs="Times New Roman"/>
              <w:snapToGrid w:val="0"/>
              <w:color w:val="000000"/>
              <w:spacing w:val="-11"/>
              <w:kern w:val="0"/>
              <w:sz w:val="24"/>
              <w:szCs w:val="24"/>
              <w:lang w:val="en-US" w:eastAsia="en-US" w:bidi="ar-SA"/>
            </w:rPr>
            <w:tab/>
          </w:r>
          <w:r>
            <w:rPr>
              <w:rFonts w:ascii="Times New Roman" w:hAnsi="Times New Roman" w:eastAsia="Times New Roman" w:cs="Times New Roman"/>
              <w:snapToGrid w:val="0"/>
              <w:color w:val="000000"/>
              <w:spacing w:val="-11"/>
              <w:kern w:val="0"/>
              <w:sz w:val="24"/>
              <w:szCs w:val="24"/>
              <w:lang w:val="en-US" w:eastAsia="en-US" w:bidi="ar-SA"/>
            </w:rPr>
            <w:t xml:space="preserve"/>
          </w:r>
        </w:p>
        <w:p w14:paraId="78D70BEC">
          <w:pPr>
            <w:pStyle w:val="2"/>
            <w:tabs>
              <w:tab w:val="right" w:leader="dot" w:pos="9582"/>
            </w:tabs>
            <w:spacing w:before="327" w:line="229" w:lineRule="auto"/>
            <w:ind w:left="15"/>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9"/>
              <w:kern w:val="0"/>
              <w:sz w:val="24"/>
              <w:szCs w:val="24"/>
              <w:lang w:val="en-US" w:eastAsia="en-US" w:bidi="ar-SA"/>
            </w:rPr>
            <w:t>3. Registros de alarma 7 7</w:t>
          </w:r>
          <w:r>
            <w:rPr>
              <w:rFonts w:ascii="Times New Roman" w:hAnsi="Times New Roman" w:eastAsia="Times New Roman" w:cs="Times New Roman"/>
              <w:snapToGrid w:val="0"/>
              <w:color w:val="000000"/>
              <w:spacing w:val="-9"/>
              <w:kern w:val="0"/>
              <w:sz w:val="24"/>
              <w:szCs w:val="24"/>
              <w:lang w:val="en-US" w:eastAsia="en-US" w:bidi="ar-SA"/>
            </w:rPr>
            <w:tab/>
          </w:r>
          <w:r>
            <w:rPr>
              <w:rFonts w:ascii="Times New Roman" w:hAnsi="Times New Roman" w:eastAsia="Times New Roman" w:cs="Times New Roman"/>
              <w:snapToGrid w:val="0"/>
              <w:color w:val="000000"/>
              <w:spacing w:val="-9"/>
              <w:kern w:val="0"/>
              <w:sz w:val="24"/>
              <w:szCs w:val="24"/>
              <w:lang w:val="en-US" w:eastAsia="en-US" w:bidi="ar-SA"/>
            </w:rPr>
            <w:t xml:space="preserve"/>
          </w:r>
        </w:p>
        <w:p w14:paraId="59B125F3">
          <w:pPr>
            <w:pStyle w:val="2"/>
            <w:tabs>
              <w:tab w:val="right" w:leader="dot" w:pos="9582"/>
            </w:tabs>
            <w:spacing w:before="328" w:line="228" w:lineRule="auto"/>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9"/>
              <w:kern w:val="0"/>
              <w:sz w:val="24"/>
              <w:szCs w:val="24"/>
              <w:lang w:val="en-US" w:eastAsia="en-US" w:bidi="ar-SA"/>
            </w:rPr>
            <w:t>4. Ajuste del punto de cero 7 7</w:t>
          </w:r>
          <w:r>
            <w:rPr>
              <w:rFonts w:ascii="Times New Roman" w:hAnsi="Times New Roman" w:eastAsia="Times New Roman" w:cs="Times New Roman"/>
              <w:snapToGrid w:val="0"/>
              <w:color w:val="000000"/>
              <w:spacing w:val="-9"/>
              <w:kern w:val="0"/>
              <w:sz w:val="24"/>
              <w:szCs w:val="24"/>
              <w:lang w:val="en-US" w:eastAsia="en-US" w:bidi="ar-SA"/>
            </w:rPr>
            <w:tab/>
          </w:r>
          <w:r>
            <w:rPr>
              <w:rFonts w:ascii="Times New Roman" w:hAnsi="Times New Roman" w:eastAsia="Times New Roman" w:cs="Times New Roman"/>
              <w:snapToGrid w:val="0"/>
              <w:color w:val="000000"/>
              <w:spacing w:val="-9"/>
              <w:kern w:val="0"/>
              <w:sz w:val="24"/>
              <w:szCs w:val="24"/>
              <w:lang w:val="en-US" w:eastAsia="en-US" w:bidi="ar-SA"/>
            </w:rPr>
            <w:t xml:space="preserve"/>
          </w:r>
        </w:p>
        <w:p w14:paraId="467A201C">
          <w:pPr>
            <w:pStyle w:val="2"/>
            <w:tabs>
              <w:tab w:val="right" w:leader="dot" w:pos="9582"/>
            </w:tabs>
            <w:spacing w:before="329" w:line="229" w:lineRule="auto"/>
            <w:ind w:left="19"/>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15"/>
              <w:kern w:val="0"/>
              <w:sz w:val="24"/>
              <w:szCs w:val="24"/>
              <w:lang w:val="en-US" w:eastAsia="en-US" w:bidi="ar-SA"/>
            </w:rPr>
            <w:t>5. Calibración 8 8</w:t>
          </w:r>
          <w:r>
            <w:rPr>
              <w:rFonts w:ascii="Times New Roman" w:hAnsi="Times New Roman" w:eastAsia="Times New Roman" w:cs="Times New Roman"/>
              <w:snapToGrid w:val="0"/>
              <w:color w:val="000000"/>
              <w:spacing w:val="-15"/>
              <w:kern w:val="0"/>
              <w:sz w:val="24"/>
              <w:szCs w:val="24"/>
              <w:lang w:val="en-US" w:eastAsia="en-US" w:bidi="ar-SA"/>
            </w:rPr>
            <w:tab/>
          </w:r>
          <w:r>
            <w:rPr>
              <w:rFonts w:ascii="Times New Roman" w:hAnsi="Times New Roman" w:eastAsia="Times New Roman" w:cs="Times New Roman"/>
              <w:snapToGrid w:val="0"/>
              <w:color w:val="000000"/>
              <w:spacing w:val="-15"/>
              <w:kern w:val="0"/>
              <w:sz w:val="24"/>
              <w:szCs w:val="24"/>
              <w:lang w:val="en-US" w:eastAsia="en-US" w:bidi="ar-SA"/>
            </w:rPr>
            <w:t xml:space="preserve"/>
          </w:r>
        </w:p>
        <w:p w14:paraId="642D8C1B">
          <w:pPr>
            <w:pStyle w:val="2"/>
            <w:tabs>
              <w:tab w:val="right" w:leader="dot" w:pos="9582"/>
            </w:tabs>
            <w:spacing w:before="327" w:line="229" w:lineRule="auto"/>
            <w:ind w:left="12"/>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15"/>
              <w:kern w:val="0"/>
              <w:sz w:val="24"/>
              <w:szCs w:val="24"/>
              <w:lang w:val="en-US" w:eastAsia="en-US" w:bidi="ar-SA"/>
            </w:rPr>
            <w:t>6. Restaurar valores de fábrica 8 8</w:t>
          </w:r>
          <w:r>
            <w:rPr>
              <w:rFonts w:ascii="Times New Roman" w:hAnsi="Times New Roman" w:eastAsia="Times New Roman" w:cs="Times New Roman"/>
              <w:snapToGrid w:val="0"/>
              <w:color w:val="000000"/>
              <w:spacing w:val="-15"/>
              <w:kern w:val="0"/>
              <w:sz w:val="24"/>
              <w:szCs w:val="24"/>
              <w:lang w:val="en-US" w:eastAsia="en-US" w:bidi="ar-SA"/>
            </w:rPr>
            <w:tab/>
          </w:r>
          <w:r>
            <w:rPr>
              <w:rFonts w:ascii="Times New Roman" w:hAnsi="Times New Roman" w:eastAsia="Times New Roman" w:cs="Times New Roman"/>
              <w:snapToGrid w:val="0"/>
              <w:color w:val="000000"/>
              <w:spacing w:val="-15"/>
              <w:kern w:val="0"/>
              <w:sz w:val="24"/>
              <w:szCs w:val="24"/>
              <w:lang w:val="en-US" w:eastAsia="en-US" w:bidi="ar-SA"/>
            </w:rPr>
            <w:t xml:space="preserve"/>
          </w:r>
        </w:p>
        <w:p w14:paraId="5C4A9975">
          <w:pPr>
            <w:pStyle w:val="2"/>
            <w:tabs>
              <w:tab w:val="right" w:leader="dot" w:pos="9582"/>
            </w:tabs>
            <w:spacing w:before="326" w:line="229" w:lineRule="auto"/>
            <w:ind w:left="11"/>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10"/>
              <w:kern w:val="0"/>
              <w:sz w:val="24"/>
              <w:szCs w:val="24"/>
              <w:lang w:val="en-US" w:eastAsia="en-US" w:bidi="ar-SA"/>
            </w:rPr>
            <w:t>7. Configuración de carga de datos 9 9</w:t>
          </w:r>
          <w:r>
            <w:rPr>
              <w:rFonts w:ascii="Times New Roman" w:hAnsi="Times New Roman" w:eastAsia="Times New Roman" w:cs="Times New Roman"/>
              <w:snapToGrid w:val="0"/>
              <w:color w:val="000000"/>
              <w:spacing w:val="-10"/>
              <w:kern w:val="0"/>
              <w:sz w:val="24"/>
              <w:szCs w:val="24"/>
              <w:lang w:val="en-US" w:eastAsia="en-US" w:bidi="ar-SA"/>
            </w:rPr>
            <w:tab/>
          </w:r>
          <w:r>
            <w:rPr>
              <w:rFonts w:ascii="Times New Roman" w:hAnsi="Times New Roman" w:eastAsia="Times New Roman" w:cs="Times New Roman"/>
              <w:snapToGrid w:val="0"/>
              <w:color w:val="000000"/>
              <w:spacing w:val="-10"/>
              <w:kern w:val="0"/>
              <w:sz w:val="24"/>
              <w:szCs w:val="24"/>
              <w:lang w:val="en-US" w:eastAsia="en-US" w:bidi="ar-SA"/>
            </w:rPr>
            <w:t xml:space="preserve"/>
          </w:r>
        </w:p>
        <w:p w14:paraId="11F41709">
          <w:pPr>
            <w:spacing w:line="260" w:lineRule="auto"/>
            <w:rPr>
              <w:rFonts w:ascii="Arial"/>
              <w:sz w:val="21"/>
            </w:rPr>
          </w:pPr>
        </w:p>
        <w:p w14:paraId="295765CD">
          <w:pPr>
            <w:pStyle w:val="2"/>
            <w:tabs>
              <w:tab w:val="right" w:leader="dot" w:pos="9582"/>
            </w:tabs>
            <w:spacing w:before="110" w:line="190" w:lineRule="auto"/>
            <w:ind w:left="3"/>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10"/>
              <w:kern w:val="0"/>
              <w:sz w:val="24"/>
              <w:szCs w:val="24"/>
              <w:lang w:val="en-US" w:eastAsia="en-US" w:bidi="ar-SA"/>
            </w:rPr>
            <w:t>V. Precauciones 9 9</w:t>
          </w:r>
          <w:r>
            <w:rPr>
              <w:rFonts w:ascii="Times New Roman" w:hAnsi="Times New Roman" w:eastAsia="Times New Roman" w:cs="Times New Roman"/>
              <w:snapToGrid w:val="0"/>
              <w:color w:val="000000"/>
              <w:spacing w:val="-10"/>
              <w:kern w:val="0"/>
              <w:sz w:val="24"/>
              <w:szCs w:val="24"/>
              <w:lang w:val="en-US" w:eastAsia="en-US" w:bidi="ar-SA"/>
            </w:rPr>
            <w:tab/>
          </w:r>
          <w:r>
            <w:rPr>
              <w:rFonts w:ascii="Times New Roman" w:hAnsi="Times New Roman" w:eastAsia="Times New Roman" w:cs="Times New Roman"/>
              <w:snapToGrid w:val="0"/>
              <w:color w:val="000000"/>
              <w:spacing w:val="-10"/>
              <w:kern w:val="0"/>
              <w:sz w:val="24"/>
              <w:szCs w:val="24"/>
              <w:lang w:val="en-US" w:eastAsia="en-US" w:bidi="ar-SA"/>
            </w:rPr>
            <w:t xml:space="preserve"/>
          </w:r>
        </w:p>
        <w:p w14:paraId="61AE22DD">
          <w:pPr>
            <w:spacing w:line="286" w:lineRule="auto"/>
            <w:rPr>
              <w:rFonts w:ascii="Arial"/>
              <w:sz w:val="21"/>
            </w:rPr>
          </w:pPr>
        </w:p>
        <w:p w14:paraId="23A349B5">
          <w:pPr>
            <w:pStyle w:val="2"/>
            <w:tabs>
              <w:tab w:val="right" w:leader="dot" w:pos="9582"/>
            </w:tabs>
            <w:spacing w:before="110" w:line="190" w:lineRule="auto"/>
            <w:ind w:left="5"/>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14"/>
              <w:kern w:val="0"/>
              <w:sz w:val="24"/>
              <w:szCs w:val="24"/>
              <w:lang w:val="en-US" w:eastAsia="en-US" w:bidi="ar-SA"/>
            </w:rPr>
            <w:t>VI. Fallos comunes y sus soluciones 10 10</w:t>
          </w:r>
          <w:r>
            <w:rPr>
              <w:rFonts w:ascii="Times New Roman" w:hAnsi="Times New Roman" w:eastAsia="Times New Roman" w:cs="Times New Roman"/>
              <w:snapToGrid w:val="0"/>
              <w:color w:val="000000"/>
              <w:spacing w:val="-14"/>
              <w:kern w:val="0"/>
              <w:sz w:val="24"/>
              <w:szCs w:val="24"/>
              <w:lang w:val="en-US" w:eastAsia="en-US" w:bidi="ar-SA"/>
            </w:rPr>
            <w:tab/>
          </w:r>
          <w:r>
            <w:rPr>
              <w:rFonts w:ascii="Times New Roman" w:hAnsi="Times New Roman" w:eastAsia="Times New Roman" w:cs="Times New Roman"/>
              <w:snapToGrid w:val="0"/>
              <w:color w:val="000000"/>
              <w:spacing w:val="-14"/>
              <w:kern w:val="0"/>
              <w:sz w:val="24"/>
              <w:szCs w:val="24"/>
              <w:lang w:val="en-US" w:eastAsia="en-US" w:bidi="ar-SA"/>
            </w:rPr>
            <w:t xml:space="preserve"/>
          </w:r>
        </w:p>
        <w:p w14:paraId="175BBF56">
          <w:pPr>
            <w:spacing w:line="290" w:lineRule="auto"/>
            <w:rPr>
              <w:rFonts w:ascii="Arial"/>
              <w:sz w:val="21"/>
            </w:rPr>
          </w:pPr>
        </w:p>
        <w:p w14:paraId="5A199955">
          <w:pPr>
            <w:pStyle w:val="2"/>
            <w:tabs>
              <w:tab w:val="right" w:leader="dot" w:pos="9586"/>
            </w:tabs>
            <w:spacing w:before="109" w:line="187" w:lineRule="auto"/>
            <w:ind w:left="4"/>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17"/>
              <w:kern w:val="0"/>
              <w:sz w:val="24"/>
              <w:szCs w:val="24"/>
              <w:lang w:val="en-US" w:eastAsia="en-US" w:bidi="ar-SA"/>
            </w:rPr>
            <w:t>VII. Almacenamiento 11 11</w:t>
          </w:r>
          <w:r>
            <w:rPr>
              <w:rFonts w:ascii="Times New Roman" w:hAnsi="Times New Roman" w:eastAsia="Times New Roman" w:cs="Times New Roman"/>
              <w:snapToGrid w:val="0"/>
              <w:color w:val="000000"/>
              <w:spacing w:val="-17"/>
              <w:kern w:val="0"/>
              <w:sz w:val="24"/>
              <w:szCs w:val="24"/>
              <w:lang w:val="en-US" w:eastAsia="en-US" w:bidi="ar-SA"/>
            </w:rPr>
            <w:tab/>
          </w:r>
          <w:r>
            <w:rPr>
              <w:rFonts w:ascii="Times New Roman" w:hAnsi="Times New Roman" w:eastAsia="Times New Roman" w:cs="Times New Roman"/>
              <w:snapToGrid w:val="0"/>
              <w:color w:val="000000"/>
              <w:spacing w:val="-17"/>
              <w:kern w:val="0"/>
              <w:sz w:val="24"/>
              <w:szCs w:val="24"/>
              <w:lang w:val="en-US" w:eastAsia="en-US" w:bidi="ar-SA"/>
            </w:rPr>
            <w:t xml:space="preserve"/>
          </w:r>
        </w:p>
        <w:p w14:paraId="0324D247">
          <w:pPr>
            <w:spacing w:line="294" w:lineRule="auto"/>
            <w:rPr>
              <w:rFonts w:ascii="Arial"/>
              <w:sz w:val="21"/>
            </w:rPr>
          </w:pPr>
        </w:p>
        <w:p w14:paraId="21798992">
          <w:pPr>
            <w:pStyle w:val="2"/>
            <w:tabs>
              <w:tab w:val="right" w:leader="dot" w:pos="9586"/>
            </w:tabs>
            <w:spacing w:before="110" w:line="186" w:lineRule="auto"/>
            <w:rPr>
              <w:rFonts w:ascii="Times New Roman" w:hAnsi="Times New Roman" w:eastAsia="Times New Roman" w:cs="Times New Roman"/>
            </w:rPr>
          </w:pPr>
          <w:r>
            <w:rPr>
              <w:rFonts w:ascii="Times New Roman" w:hAnsi="Times New Roman" w:eastAsia="Times New Roman" w:cs="Times New Roman"/>
              <w:snapToGrid w:val="0"/>
              <w:color w:val="000000"/>
              <w:kern w:val="0"/>
              <w:sz w:val="24"/>
              <w:szCs w:val="24"/>
              <w:lang w:val="en-US" w:eastAsia="en-US" w:bidi="ar-SA"/>
            </w:rPr>
            <w:t>VIII. Accesorios 11 11</w:t>
          </w:r>
          <w:r>
            <w:rPr>
              <w:rFonts w:ascii="Times New Roman" w:hAnsi="Times New Roman" w:eastAsia="Times New Roman" w:cs="Times New Roman"/>
              <w:snapToGrid w:val="0"/>
              <w:color w:val="000000"/>
              <w:kern w:val="0"/>
              <w:sz w:val="24"/>
              <w:szCs w:val="24"/>
              <w:lang w:val="en-US" w:eastAsia="en-US" w:bidi="ar-SA"/>
            </w:rPr>
            <w:tab/>
          </w:r>
          <w:r>
            <w:rPr>
              <w:rFonts w:ascii="Times New Roman" w:hAnsi="Times New Roman" w:eastAsia="Times New Roman" w:cs="Times New Roman"/>
              <w:snapToGrid w:val="0"/>
              <w:color w:val="000000"/>
              <w:kern w:val="0"/>
              <w:sz w:val="24"/>
              <w:szCs w:val="24"/>
              <w:lang w:val="en-US" w:eastAsia="en-US" w:bidi="ar-SA"/>
            </w:rPr>
            <w:t xml:space="preserve"/>
          </w:r>
        </w:p>
      </w:sdtContent>
    </w:sdt>
    <w:p w14:paraId="4364366B">
      <w:pPr>
        <w:spacing w:line="186" w:lineRule="auto"/>
        <w:rPr>
          <w:rFonts w:ascii="Times New Roman" w:hAnsi="Times New Roman" w:eastAsia="Times New Roman" w:cs="Times New Roman"/>
        </w:rPr>
        <w:sectPr>
          <w:pgSz w:w="11850" w:h="16783"/>
          <w:pgMar w:top="1426" w:right="1129" w:bottom="0" w:left="1134" w:header="0" w:footer="0" w:gutter="0"/>
          <w:cols w:space="720" w:num="1"/>
        </w:sectPr>
      </w:pPr>
    </w:p>
    <w:p w14:paraId="290D1A49">
      <w:pPr>
        <w:pStyle w:val="2"/>
        <w:spacing w:before="62" w:line="193" w:lineRule="auto"/>
        <w:ind w:left="4136"/>
        <w:rPr>
          <w:rFonts w:hint="default"/>
          <w:sz w:val="31"/>
          <w:szCs w:val="31"/>
          <w:lang w:val="en-US"/>
        </w:rPr>
      </w:pPr>
      <w:bookmarkStart w:id="0" w:name="bookmark32"/>
      <w:bookmarkEnd w:id="0"/>
      <w:r>
        <w:rPr>
          <w:rFonts w:ascii="Times New Roman" w:hAnsi="PingFang SC" w:eastAsia="PingFang SC" w:cs="PingFang SC"/>
          <w:b/>
          <w:bCs/>
          <w:snapToGrid w:val="0"/>
          <w:color w:val="000000"/>
          <w:spacing w:val="5"/>
          <w:kern w:val="0"/>
          <w:sz w:val="31"/>
          <w:szCs w:val="31"/>
          <w:lang w:val="en-US" w:eastAsia="en-US" w:bidi="ar-SA"/>
        </w:rPr>
        <w:t>Instrucciones de uso</w:t>
      </w:r>
    </w:p>
    <w:p w14:paraId="10CC7714">
      <w:pPr>
        <w:spacing w:line="303" w:lineRule="auto"/>
        <w:rPr>
          <w:rFonts w:ascii="Arial"/>
          <w:sz w:val="21"/>
        </w:rPr>
      </w:pPr>
    </w:p>
    <w:p w14:paraId="3C58F760">
      <w:pPr>
        <w:spacing w:line="304" w:lineRule="auto"/>
        <w:rPr>
          <w:rFonts w:ascii="Arial"/>
          <w:sz w:val="21"/>
        </w:rPr>
      </w:pPr>
    </w:p>
    <w:p w14:paraId="7CD125E3">
      <w:pPr>
        <w:pStyle w:val="2"/>
        <w:spacing w:before="109" w:line="183" w:lineRule="auto"/>
        <w:ind w:left="462"/>
        <w:rPr>
          <w:rFonts w:hint="default"/>
          <w:lang w:val="en-US"/>
        </w:rPr>
      </w:pPr>
      <w:r>
        <w:rPr>
          <w:rFonts w:ascii="Times New Roman" w:hAnsi="PingFang SC" w:eastAsia="PingFang SC" w:cs="PingFang SC"/>
          <w:snapToGrid w:val="0"/>
          <w:color w:val="000000"/>
          <w:spacing w:val="-3"/>
          <w:kern w:val="0"/>
          <w:sz w:val="24"/>
          <w:szCs w:val="24"/>
          <w:lang w:val="en-US" w:eastAsia="en-US" w:bidi="ar-SA"/>
        </w:rPr>
        <w:t>Antes de utilizar el detector, lea las siguientes precauciones.</w:t>
      </w:r>
    </w:p>
    <w:p w14:paraId="6D3ED164">
      <w:pPr>
        <w:pStyle w:val="2"/>
        <w:spacing w:before="151" w:line="230" w:lineRule="auto"/>
        <w:ind w:left="402" w:hanging="402"/>
        <w:rPr>
          <w:rFonts w:hint="default"/>
          <w:lang w:val="en-US"/>
        </w:rPr>
      </w:pPr>
      <w:r>
        <w:rPr>
          <w:position w:val="-4"/>
        </w:rPr>
        <w:drawing>
          <wp:inline distT="0" distB="0" distL="0" distR="0">
            <wp:extent cx="107950" cy="168275"/>
            <wp:effectExtent l="0" t="0" r="19050" b="8255"/>
            <wp:docPr id="3" name="IM 4"/>
            <wp:cNvGraphicFramePr/>
            <a:graphic xmlns:a="http://schemas.openxmlformats.org/drawingml/2006/main">
              <a:graphicData uri="http://schemas.openxmlformats.org/drawingml/2006/picture">
                <pic:pic xmlns:pic="http://schemas.openxmlformats.org/drawingml/2006/picture">
                  <pic:nvPicPr>
                    <pic:cNvPr id="3" name="IM 4"/>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2"/>
          <w:kern w:val="0"/>
          <w:sz w:val="24"/>
          <w:szCs w:val="24"/>
          <w:lang w:val="en-US" w:eastAsia="en-US" w:bidi="ar-SA"/>
        </w:rPr>
        <w:t>No deben utilizarse detectores de gas dañados. Antes de manejarlo, inspeccione la carcasa en busca de grietas o componentes faltantes. Si el detector está dañado o le faltan piezas, contacte inmediatamente con nuestra empresa o con el distribuidor autorizado.</w:t>
      </w:r>
    </w:p>
    <w:p w14:paraId="10576892">
      <w:pPr>
        <w:pStyle w:val="2"/>
        <w:spacing w:before="150" w:line="197" w:lineRule="auto"/>
        <w:rPr>
          <w:rFonts w:hint="default"/>
          <w:lang w:val="en-US"/>
        </w:rPr>
      </w:pPr>
      <w:r>
        <w:rPr>
          <w:position w:val="-4"/>
        </w:rPr>
        <w:drawing>
          <wp:inline distT="0" distB="0" distL="0" distR="0">
            <wp:extent cx="107950" cy="168275"/>
            <wp:effectExtent l="0" t="0" r="19050" b="8255"/>
            <wp:docPr id="5" name="IM 6"/>
            <wp:cNvGraphicFramePr/>
            <a:graphic xmlns:a="http://schemas.openxmlformats.org/drawingml/2006/main">
              <a:graphicData uri="http://schemas.openxmlformats.org/drawingml/2006/picture">
                <pic:pic xmlns:pic="http://schemas.openxmlformats.org/drawingml/2006/picture">
                  <pic:nvPicPr>
                    <pic:cNvPr id="5" name="IM 6"/>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2"/>
          <w:kern w:val="0"/>
          <w:sz w:val="24"/>
          <w:szCs w:val="24"/>
          <w:lang w:val="en-US" w:eastAsia="en-US" w:bidi="ar-SA"/>
        </w:rPr>
        <w:t>La sustitución de componentes por cuenta propia puede comprometer la seguridad interna del detector.</w:t>
      </w:r>
    </w:p>
    <w:p w14:paraId="6B6466AE">
      <w:pPr>
        <w:pStyle w:val="2"/>
        <w:spacing w:before="136" w:line="197" w:lineRule="auto"/>
        <w:rPr>
          <w:rFonts w:hint="default"/>
          <w:lang w:val="en-US"/>
        </w:rPr>
      </w:pPr>
      <w:r>
        <w:rPr>
          <w:position w:val="-4"/>
        </w:rPr>
        <w:drawing>
          <wp:inline distT="0" distB="0" distL="0" distR="0">
            <wp:extent cx="107950" cy="168275"/>
            <wp:effectExtent l="0" t="0" r="19050" b="8255"/>
            <wp:docPr id="7" name="IM 8"/>
            <wp:cNvGraphicFramePr/>
            <a:graphic xmlns:a="http://schemas.openxmlformats.org/drawingml/2006/main">
              <a:graphicData uri="http://schemas.openxmlformats.org/drawingml/2006/picture">
                <pic:pic xmlns:pic="http://schemas.openxmlformats.org/drawingml/2006/picture">
                  <pic:nvPicPr>
                    <pic:cNvPr id="7" name="IM 8"/>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1"/>
          <w:kern w:val="0"/>
          <w:sz w:val="24"/>
          <w:szCs w:val="24"/>
          <w:lang w:val="en-US" w:eastAsia="en-US" w:bidi="ar-SA"/>
        </w:rPr>
        <w:t>Los detectores de gas no deben exponerse a descargas eléctricas ni a entornos con vibraciones mecánicas continuas intensas.</w:t>
      </w:r>
    </w:p>
    <w:p w14:paraId="5D0A3546">
      <w:pPr>
        <w:pStyle w:val="2"/>
        <w:spacing w:before="136" w:line="197" w:lineRule="auto"/>
        <w:rPr>
          <w:rFonts w:hint="default"/>
          <w:lang w:val="en-US"/>
        </w:rPr>
      </w:pPr>
      <w:r>
        <w:rPr>
          <w:position w:val="-4"/>
        </w:rPr>
        <w:drawing>
          <wp:inline distT="0" distB="0" distL="0" distR="0">
            <wp:extent cx="107950" cy="168275"/>
            <wp:effectExtent l="0" t="0" r="19050" b="8255"/>
            <wp:docPr id="9" name="IM 10"/>
            <wp:cNvGraphicFramePr/>
            <a:graphic xmlns:a="http://schemas.openxmlformats.org/drawingml/2006/main">
              <a:graphicData uri="http://schemas.openxmlformats.org/drawingml/2006/picture">
                <pic:pic xmlns:pic="http://schemas.openxmlformats.org/drawingml/2006/picture">
                  <pic:nvPicPr>
                    <pic:cNvPr id="9" name="IM 10"/>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2"/>
          <w:kern w:val="0"/>
          <w:sz w:val="24"/>
          <w:szCs w:val="24"/>
          <w:lang w:val="en-US" w:eastAsia="en-US" w:bidi="ar-SA"/>
        </w:rPr>
        <w:t>Las baterías y los sensores desechados deben ser gestionados por recicladores cualificados o gestores de residuos peligrosos, y no deben arrojarse indiscriminadamente a los contenedores de basura.</w:t>
      </w:r>
    </w:p>
    <w:p w14:paraId="635C5852">
      <w:pPr>
        <w:pStyle w:val="2"/>
        <w:spacing w:before="133" w:line="197" w:lineRule="auto"/>
        <w:rPr>
          <w:rFonts w:hint="default"/>
          <w:lang w:val="en-US"/>
        </w:rPr>
      </w:pPr>
      <w:r>
        <w:rPr>
          <w:position w:val="-4"/>
        </w:rPr>
        <w:drawing>
          <wp:inline distT="0" distB="0" distL="0" distR="0">
            <wp:extent cx="107950" cy="168275"/>
            <wp:effectExtent l="0" t="0" r="19050" b="8255"/>
            <wp:docPr id="11" name="IM 12"/>
            <wp:cNvGraphicFramePr/>
            <a:graphic xmlns:a="http://schemas.openxmlformats.org/drawingml/2006/main">
              <a:graphicData uri="http://schemas.openxmlformats.org/drawingml/2006/picture">
                <pic:pic xmlns:pic="http://schemas.openxmlformats.org/drawingml/2006/picture">
                  <pic:nvPicPr>
                    <pic:cNvPr id="11" name="IM 12"/>
                    <pic:cNvPicPr/>
                  </pic:nvPicPr>
                  <pic:blipFill>
                    <a:blip r:embed="rId20"/>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3"/>
          <w:kern w:val="0"/>
          <w:sz w:val="24"/>
          <w:szCs w:val="24"/>
          <w:lang w:val="en-US" w:eastAsia="en-US" w:bidi="ar-SA"/>
        </w:rPr>
        <w:t>No desmonte las baterías ni las arroje al fuego, y evite los cortocircuitos entre los bornes positivo y negativo, ya que esto puede provocar incendios o explosiones.</w:t>
      </w:r>
    </w:p>
    <w:p w14:paraId="1D3BE5D3">
      <w:pPr>
        <w:pStyle w:val="2"/>
        <w:spacing w:before="136" w:line="197" w:lineRule="auto"/>
        <w:rPr>
          <w:rFonts w:hint="default"/>
          <w:lang w:val="en-US"/>
        </w:rPr>
      </w:pPr>
      <w:r>
        <w:rPr>
          <w:position w:val="-4"/>
        </w:rPr>
        <w:drawing>
          <wp:inline distT="0" distB="0" distL="0" distR="0">
            <wp:extent cx="107950" cy="168275"/>
            <wp:effectExtent l="0" t="0" r="19050" b="8255"/>
            <wp:docPr id="13" name="IM 14"/>
            <wp:cNvGraphicFramePr/>
            <a:graphic xmlns:a="http://schemas.openxmlformats.org/drawingml/2006/main">
              <a:graphicData uri="http://schemas.openxmlformats.org/drawingml/2006/picture">
                <pic:pic xmlns:pic="http://schemas.openxmlformats.org/drawingml/2006/picture">
                  <pic:nvPicPr>
                    <pic:cNvPr id="13" name="IM 14"/>
                    <pic:cNvPicPr/>
                  </pic:nvPicPr>
                  <pic:blipFill>
                    <a:blip r:embed="rId21"/>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2"/>
          <w:kern w:val="0"/>
          <w:sz w:val="24"/>
          <w:szCs w:val="24"/>
          <w:lang w:val="en-US" w:eastAsia="en-US" w:bidi="ar-SA"/>
        </w:rPr>
        <w:t>Se prohíbe el desmontaje, el ajuste o la reparación no autorizados de este detector de gas.</w:t>
      </w:r>
    </w:p>
    <w:p w14:paraId="263EA851">
      <w:pPr>
        <w:pStyle w:val="2"/>
        <w:spacing w:before="135" w:line="234" w:lineRule="auto"/>
        <w:ind w:left="402" w:hanging="402"/>
        <w:rPr>
          <w:rFonts w:hint="default"/>
          <w:lang w:val="en-US"/>
        </w:rPr>
      </w:pPr>
      <w:r>
        <w:rPr>
          <w:position w:val="-5"/>
        </w:rPr>
        <w:drawing>
          <wp:inline distT="0" distB="0" distL="0" distR="0">
            <wp:extent cx="107950" cy="168275"/>
            <wp:effectExtent l="0" t="0" r="19050" b="8255"/>
            <wp:docPr id="15" name="IM 16"/>
            <wp:cNvGraphicFramePr/>
            <a:graphic xmlns:a="http://schemas.openxmlformats.org/drawingml/2006/main">
              <a:graphicData uri="http://schemas.openxmlformats.org/drawingml/2006/picture">
                <pic:pic xmlns:pic="http://schemas.openxmlformats.org/drawingml/2006/picture">
                  <pic:nvPicPr>
                    <pic:cNvPr id="15" name="IM 16"/>
                    <pic:cNvPicPr/>
                  </pic:nvPicPr>
                  <pic:blipFill>
                    <a:blip r:embed="rId21"/>
                    <a:stretch>
                      <a:fillRect/>
                    </a:stretch>
                  </pic:blipFill>
                  <pic:spPr>
                    <a:xfrm>
                      <a:off x="0" y="0"/>
                      <a:ext cx="108204" cy="168858"/>
                    </a:xfrm>
                    <a:prstGeom prst="rect">
                      <a:avLst/>
                    </a:prstGeom>
                  </pic:spPr>
                </pic:pic>
              </a:graphicData>
            </a:graphic>
          </wp:inline>
        </w:drawing>
      </w:r>
      <w:r>
        <w:rPr>
          <w:rFonts w:ascii="Times New Roman" w:hAnsi="PingFang SC" w:eastAsia="PingFang SC" w:cs="PingFang SC"/>
          <w:snapToGrid w:val="0"/>
          <w:color w:val="000000"/>
          <w:spacing w:val="-1"/>
          <w:kern w:val="0"/>
          <w:sz w:val="24"/>
          <w:szCs w:val="24"/>
          <w:lang w:val="en-US" w:eastAsia="en-US" w:bidi="ar-SA"/>
        </w:rPr>
        <w:t>No salpique agua, disolventes químicos, benceno ni gasolina sobre el detector, y evite inhalar dichas sustancias, ya que pueden provocar un funcionamiento incorrecto del detector.</w:t>
      </w:r>
    </w:p>
    <w:p w14:paraId="00E2B363">
      <w:pPr>
        <w:pStyle w:val="2"/>
        <w:spacing w:before="139" w:line="191" w:lineRule="auto"/>
        <w:rPr>
          <w:rFonts w:hint="default"/>
          <w:lang w:val="en-US"/>
        </w:rPr>
      </w:pPr>
      <w:r>
        <w:rPr>
          <w:position w:val="-5"/>
        </w:rPr>
        <w:drawing>
          <wp:inline distT="0" distB="0" distL="0" distR="0">
            <wp:extent cx="107950" cy="168275"/>
            <wp:effectExtent l="0" t="0" r="19050" b="8255"/>
            <wp:docPr id="17" name="IM 18"/>
            <wp:cNvGraphicFramePr/>
            <a:graphic xmlns:a="http://schemas.openxmlformats.org/drawingml/2006/main">
              <a:graphicData uri="http://schemas.openxmlformats.org/drawingml/2006/picture">
                <pic:pic xmlns:pic="http://schemas.openxmlformats.org/drawingml/2006/picture">
                  <pic:nvPicPr>
                    <pic:cNvPr id="17" name="IM 18"/>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2"/>
          <w:kern w:val="0"/>
          <w:sz w:val="24"/>
          <w:szCs w:val="24"/>
          <w:lang w:val="en-US" w:eastAsia="en-US" w:bidi="ar-SA"/>
        </w:rPr>
        <w:t>Evite que el dispositivo caiga desde una altura o sufra vibraciones severas</w:t>
      </w:r>
    </w:p>
    <w:p w14:paraId="268175B7">
      <w:pPr>
        <w:pStyle w:val="2"/>
        <w:spacing w:before="114" w:line="215" w:lineRule="auto"/>
        <w:rPr>
          <w:rFonts w:hint="default"/>
          <w:lang w:val="en-US"/>
        </w:rPr>
      </w:pPr>
      <w:r>
        <w:rPr>
          <w:position w:val="-5"/>
        </w:rPr>
        <w:drawing>
          <wp:inline distT="0" distB="0" distL="0" distR="0">
            <wp:extent cx="107950" cy="168275"/>
            <wp:effectExtent l="0" t="0" r="19050" b="8255"/>
            <wp:docPr id="19" name="IM 20"/>
            <wp:cNvGraphicFramePr/>
            <a:graphic xmlns:a="http://schemas.openxmlformats.org/drawingml/2006/main">
              <a:graphicData uri="http://schemas.openxmlformats.org/drawingml/2006/picture">
                <pic:pic xmlns:pic="http://schemas.openxmlformats.org/drawingml/2006/picture">
                  <pic:nvPicPr>
                    <pic:cNvPr id="19" name="IM 20"/>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2"/>
          <w:kern w:val="0"/>
          <w:sz w:val="24"/>
          <w:szCs w:val="24"/>
          <w:lang w:val="en-US" w:eastAsia="en-US" w:bidi="ar-SA"/>
        </w:rPr>
        <w:t>Para garantizar la precisión de medición del detector, se requiere una calibración periódica del detector (al menos una vez al año).</w:t>
      </w:r>
    </w:p>
    <w:p w14:paraId="6B01D7CD">
      <w:pPr>
        <w:pStyle w:val="2"/>
        <w:spacing w:before="133" w:line="197" w:lineRule="auto"/>
        <w:rPr>
          <w:rFonts w:hint="default"/>
          <w:lang w:val="en-US"/>
        </w:rPr>
      </w:pPr>
      <w:r>
        <w:rPr>
          <w:position w:val="-4"/>
        </w:rPr>
        <w:drawing>
          <wp:inline distT="0" distB="0" distL="0" distR="0">
            <wp:extent cx="107950" cy="168275"/>
            <wp:effectExtent l="0" t="0" r="19050" b="8255"/>
            <wp:docPr id="21" name="IM 22"/>
            <wp:cNvGraphicFramePr/>
            <a:graphic xmlns:a="http://schemas.openxmlformats.org/drawingml/2006/main">
              <a:graphicData uri="http://schemas.openxmlformats.org/drawingml/2006/picture">
                <pic:pic xmlns:pic="http://schemas.openxmlformats.org/drawingml/2006/picture">
                  <pic:nvPicPr>
                    <pic:cNvPr id="21" name="IM 22"/>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1"/>
          <w:kern w:val="0"/>
          <w:sz w:val="24"/>
          <w:szCs w:val="24"/>
          <w:lang w:val="en-US" w:eastAsia="en-US" w:bidi="ar-SA"/>
        </w:rPr>
        <w:t>Se debe evitar la exposición frecuente e intencionada del detector a gases tóxicos de alta concentración.</w:t>
      </w:r>
    </w:p>
    <w:p w14:paraId="048C45DA">
      <w:pPr>
        <w:pStyle w:val="2"/>
        <w:spacing w:before="136" w:line="197" w:lineRule="auto"/>
        <w:rPr>
          <w:rFonts w:hint="default"/>
          <w:lang w:val="en-US"/>
        </w:rPr>
      </w:pPr>
      <w:r>
        <w:rPr>
          <w:position w:val="-4"/>
        </w:rPr>
        <w:drawing>
          <wp:inline distT="0" distB="0" distL="0" distR="0">
            <wp:extent cx="107950" cy="168275"/>
            <wp:effectExtent l="0" t="0" r="19050" b="8255"/>
            <wp:docPr id="23" name="IM 24"/>
            <wp:cNvGraphicFramePr/>
            <a:graphic xmlns:a="http://schemas.openxmlformats.org/drawingml/2006/main">
              <a:graphicData uri="http://schemas.openxmlformats.org/drawingml/2006/picture">
                <pic:pic xmlns:pic="http://schemas.openxmlformats.org/drawingml/2006/picture">
                  <pic:nvPicPr>
                    <pic:cNvPr id="23" name="IM 24"/>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3"/>
          <w:kern w:val="0"/>
          <w:sz w:val="24"/>
          <w:szCs w:val="24"/>
          <w:lang w:val="en-US" w:eastAsia="en-US" w:bidi="ar-SA"/>
        </w:rPr>
        <w:t>No debe seguir utilizándose el sensor si ha fallado o ha superado su vida útil.</w:t>
      </w:r>
    </w:p>
    <w:p w14:paraId="5A72DE01">
      <w:pPr>
        <w:pStyle w:val="2"/>
        <w:spacing w:before="135" w:line="197" w:lineRule="auto"/>
        <w:rPr>
          <w:rFonts w:hint="default"/>
          <w:lang w:val="en-US"/>
        </w:rPr>
      </w:pPr>
      <w:r>
        <w:rPr>
          <w:position w:val="-4"/>
        </w:rPr>
        <w:drawing>
          <wp:inline distT="0" distB="0" distL="0" distR="0">
            <wp:extent cx="107950" cy="168275"/>
            <wp:effectExtent l="0" t="0" r="19050" b="8255"/>
            <wp:docPr id="25" name="IM 26"/>
            <wp:cNvGraphicFramePr/>
            <a:graphic xmlns:a="http://schemas.openxmlformats.org/drawingml/2006/main">
              <a:graphicData uri="http://schemas.openxmlformats.org/drawingml/2006/picture">
                <pic:pic xmlns:pic="http://schemas.openxmlformats.org/drawingml/2006/picture">
                  <pic:nvPicPr>
                    <pic:cNvPr id="25" name="IM 26"/>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3"/>
          <w:kern w:val="0"/>
          <w:sz w:val="24"/>
          <w:szCs w:val="24"/>
          <w:lang w:val="en-US" w:eastAsia="en-US" w:bidi="ar-SA"/>
        </w:rPr>
        <w:t>Antes de utilizar este instrumento, lea atentamente el manual de instrucciones y siga estrictamente los procedimientos que en él se describen.</w:t>
      </w:r>
    </w:p>
    <w:p w14:paraId="2D495466">
      <w:pPr>
        <w:pStyle w:val="2"/>
        <w:spacing w:before="136" w:line="197" w:lineRule="auto"/>
        <w:rPr>
          <w:rFonts w:hint="default"/>
          <w:lang w:val="en-US"/>
        </w:rPr>
      </w:pPr>
      <w:r>
        <w:rPr>
          <w:position w:val="-4"/>
        </w:rPr>
        <w:drawing>
          <wp:inline distT="0" distB="0" distL="0" distR="0">
            <wp:extent cx="107950" cy="168275"/>
            <wp:effectExtent l="0" t="0" r="19050" b="8255"/>
            <wp:docPr id="27" name="IM 28"/>
            <wp:cNvGraphicFramePr/>
            <a:graphic xmlns:a="http://schemas.openxmlformats.org/drawingml/2006/main">
              <a:graphicData uri="http://schemas.openxmlformats.org/drawingml/2006/picture">
                <pic:pic xmlns:pic="http://schemas.openxmlformats.org/drawingml/2006/picture">
                  <pic:nvPicPr>
                    <pic:cNvPr id="27" name="IM 28"/>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1"/>
          <w:kern w:val="0"/>
          <w:sz w:val="24"/>
          <w:szCs w:val="24"/>
          <w:lang w:val="en-US" w:eastAsia="en-US" w:bidi="ar-SA"/>
        </w:rPr>
        <w:t>Para cualquier aplicación distinta de las descritas en este manual o para cualquier problema relacionado con el uso, contacte con el distribuidor o el fabricante para obtener asistencia.</w:t>
      </w:r>
    </w:p>
    <w:p w14:paraId="5E67D81A">
      <w:pPr>
        <w:spacing w:line="197" w:lineRule="auto"/>
        <w:sectPr>
          <w:pgSz w:w="11850" w:h="16783"/>
          <w:pgMar w:top="1239" w:right="1136" w:bottom="0" w:left="1152" w:header="0" w:footer="0" w:gutter="0"/>
          <w:cols w:space="720" w:num="1"/>
        </w:sectPr>
      </w:pPr>
    </w:p>
    <w:p w14:paraId="0E3407C0">
      <w:pPr>
        <w:pStyle w:val="2"/>
        <w:spacing w:before="54" w:line="189" w:lineRule="auto"/>
        <w:ind w:left="6"/>
        <w:outlineLvl w:val="0"/>
        <w:rPr>
          <w:rFonts w:hint="default"/>
          <w:sz w:val="28"/>
          <w:szCs w:val="28"/>
          <w:lang w:val="en-US"/>
        </w:rPr>
      </w:pPr>
      <w:bookmarkStart w:id="1" w:name="bookmark2"/>
      <w:bookmarkEnd w:id="1"/>
      <w:bookmarkStart w:id="2" w:name="bookmark3"/>
      <w:bookmarkEnd w:id="2"/>
      <w:r>
        <w:rPr>
          <w:rFonts w:ascii="Times New Roman" w:hAnsi="PingFang SC" w:eastAsia="PingFang SC" w:cs="PingFang SC"/>
          <w:b/>
          <w:bCs/>
          <w:snapToGrid w:val="0"/>
          <w:color w:val="000000"/>
          <w:spacing w:val="-5"/>
          <w:kern w:val="0"/>
          <w:sz w:val="28"/>
          <w:szCs w:val="28"/>
          <w:lang w:val="en-US" w:eastAsia="en-US" w:bidi="ar-SA"/>
        </w:rPr>
        <w:t>I. Descripción general</w:t>
      </w:r>
    </w:p>
    <w:p w14:paraId="329FED9E">
      <w:pPr>
        <w:pStyle w:val="2"/>
        <w:spacing w:before="108" w:line="272" w:lineRule="auto"/>
        <w:ind w:right="69" w:firstLine="490"/>
        <w:jc w:val="both"/>
        <w:rPr>
          <w:rFonts w:hint="default"/>
          <w:lang w:val="en-US"/>
        </w:rPr>
      </w:pPr>
      <w:r>
        <w:rPr>
          <w:rFonts w:ascii="Times New Roman" w:hAnsi="PingFang SC" w:eastAsia="PingFang SC" w:cs="PingFang SC"/>
          <w:snapToGrid w:val="0"/>
          <w:color w:val="000000"/>
          <w:spacing w:val="-1"/>
          <w:kern w:val="0"/>
          <w:sz w:val="24"/>
          <w:szCs w:val="24"/>
          <w:lang w:val="en-US" w:eastAsia="en-US" w:bidi="ar-SA"/>
        </w:rPr>
        <w:t>El OT139 es un instrumento portátil industrial de detección multigás de alta sensibilidad, diseñado para entornos antideflagrantes, incluidos los escenarios de respuesta de emergencia ante fugas de gas y los sistemas de tuberías subterráneas en minas. Protege eficazmente la seguridad del personal y evita daños al equipo. Utilizado principalmente para detectar fugas de gas en tuberías, el dispositivo puede identificar diversos gases según los tipos de sensor. Con dimensiones compactas, un manejo sencillo y una excelente portabilidad, ofrece una resistencia superior a las vibraciones. Equipado con tecnología de pantalla LCD de matriz de puntos de alta resolución, el producto ofrece una presentación visual intuitiva y nítida.</w:t>
      </w:r>
    </w:p>
    <w:p w14:paraId="2B49E23A">
      <w:pPr>
        <w:pStyle w:val="2"/>
        <w:spacing w:before="3" w:line="270" w:lineRule="auto"/>
        <w:ind w:left="20" w:right="70" w:firstLine="470"/>
        <w:rPr>
          <w:rFonts w:hint="default"/>
          <w:lang w:val="en-US"/>
        </w:rPr>
      </w:pPr>
      <w:r>
        <w:rPr>
          <w:rFonts w:ascii="Times New Roman" w:hAnsi="PingFang SC" w:eastAsia="PingFang SC" w:cs="PingFang SC"/>
          <w:snapToGrid w:val="0"/>
          <w:color w:val="000000"/>
          <w:spacing w:val="-11"/>
          <w:kern w:val="0"/>
          <w:sz w:val="24"/>
          <w:szCs w:val="24"/>
          <w:lang w:val="en-US" w:eastAsia="en-US" w:bidi="ar-SA"/>
        </w:rPr>
        <w:t>Es apto para zonas que contienen mezclas de gas explosivo de Zona 1 y Zona 2 con Clase IA y Clase IB. Para las Zonas 21 y 22 se utilizan envolventes a prueba de polvo.</w:t>
      </w:r>
    </w:p>
    <w:p w14:paraId="57B0E36C">
      <w:pPr>
        <w:pStyle w:val="2"/>
        <w:spacing w:before="1" w:line="228" w:lineRule="auto"/>
        <w:ind w:left="23"/>
        <w:rPr>
          <w:rFonts w:hint="default"/>
          <w:lang w:val="en-US"/>
        </w:rPr>
      </w:pPr>
      <w:r>
        <w:rPr>
          <w:rFonts w:ascii="Times New Roman" w:hAnsi="PingFang SC" w:eastAsia="PingFang SC" w:cs="PingFang SC"/>
          <w:snapToGrid w:val="0"/>
          <w:color w:val="000000"/>
          <w:kern w:val="0"/>
          <w:sz w:val="24"/>
          <w:szCs w:val="24"/>
          <w:lang w:val="en-US" w:eastAsia="en-US" w:bidi="ar-SA"/>
        </w:rPr>
        <w:t>1.1 El diseño, la fabricación y la verificación de este producto cumplen las siguientes normas nacionales</w:t>
      </w:r>
    </w:p>
    <w:p w14:paraId="49B76DFA">
      <w:pPr>
        <w:pStyle w:val="2"/>
        <w:spacing w:before="77" w:line="229" w:lineRule="auto"/>
        <w:ind w:left="10"/>
        <w:rPr>
          <w:rFonts w:hint="default"/>
          <w:lang w:val="en-US"/>
        </w:rPr>
      </w:pPr>
      <w:r>
        <w:rPr>
          <w:rFonts w:ascii="Times New Roman" w:hAnsi="PingFang SC" w:eastAsia="PingFang SC" w:cs="PingFang SC"/>
          <w:snapToGrid w:val="0"/>
          <w:color w:val="000000"/>
          <w:spacing w:val="-1"/>
          <w:kern w:val="0"/>
          <w:sz w:val="24"/>
          <w:szCs w:val="24"/>
          <w:lang w:val="en-US" w:eastAsia="en-US" w:bidi="ar-SA"/>
        </w:rPr>
        <w:t>GB/T 3836.1-2021 Atmósferas explosivas Parte 1: Requisitos generales de los equipos</w:t>
      </w:r>
    </w:p>
    <w:p w14:paraId="093BA3E2">
      <w:pPr>
        <w:pStyle w:val="2"/>
        <w:spacing w:before="77" w:line="272" w:lineRule="auto"/>
        <w:ind w:left="10" w:right="1428"/>
        <w:rPr>
          <w:rFonts w:hint="default"/>
          <w:lang w:val="en-US"/>
        </w:rPr>
      </w:pPr>
      <w:r>
        <w:rPr>
          <w:rFonts w:ascii="Times New Roman" w:hAnsi="PingFang SC" w:eastAsia="PingFang SC" w:cs="PingFang SC"/>
          <w:snapToGrid w:val="0"/>
          <w:color w:val="000000"/>
          <w:spacing w:val="-3"/>
          <w:kern w:val="0"/>
          <w:sz w:val="24"/>
          <w:szCs w:val="24"/>
          <w:lang w:val="en-US" w:eastAsia="en-US" w:bidi="ar-SA"/>
        </w:rPr>
        <w:t>GB/T 3836.4-2021 Atmósferas explosivas. Parte 4: Equipos protegidos mediante seguridad intrínseca tipo "i" GB/T 4208-2017 Clasificación de la protección de las envolventes (código IP)</w:t>
      </w:r>
    </w:p>
    <w:p w14:paraId="19AEF04B">
      <w:pPr>
        <w:pStyle w:val="2"/>
        <w:spacing w:line="228" w:lineRule="auto"/>
        <w:ind w:left="10"/>
        <w:rPr>
          <w:rFonts w:hint="default"/>
          <w:lang w:val="en-US"/>
        </w:rPr>
      </w:pPr>
      <w:r>
        <w:rPr>
          <w:rFonts w:ascii="Times New Roman" w:hAnsi="PingFang SC" w:eastAsia="PingFang SC" w:cs="PingFang SC"/>
          <w:snapToGrid w:val="0"/>
          <w:color w:val="000000"/>
          <w:kern w:val="0"/>
          <w:sz w:val="24"/>
          <w:szCs w:val="24"/>
          <w:lang w:val="en-US" w:eastAsia="en-US" w:bidi="ar-SA"/>
        </w:rPr>
        <w:t>GB 12358—2024 Instrumentos de detección y alarma de gas ambiental en el lugar de trabajo. Requisitos técnicos generales</w:t>
      </w:r>
    </w:p>
    <w:p w14:paraId="69CAFC10">
      <w:pPr>
        <w:pStyle w:val="2"/>
        <w:spacing w:before="77" w:line="229" w:lineRule="auto"/>
        <w:ind w:left="23"/>
        <w:outlineLvl w:val="1"/>
        <w:rPr>
          <w:rFonts w:hint="default"/>
          <w:lang w:val="en-US"/>
        </w:rPr>
      </w:pPr>
      <w:r>
        <w:rPr>
          <w:rFonts w:ascii="Times New Roman" w:hAnsi="PingFang SC" w:eastAsia="PingFang SC" w:cs="PingFang SC"/>
          <w:snapToGrid w:val="0"/>
          <w:color w:val="000000"/>
          <w:kern w:val="0"/>
          <w:sz w:val="24"/>
          <w:szCs w:val="24"/>
          <w:lang w:val="en-US" w:eastAsia="en-US" w:bidi="ar-SA"/>
        </w:rPr>
        <w:t>1.2 Descripción del modelo</w:t>
      </w:r>
    </w:p>
    <w:p w14:paraId="2AFF035D">
      <w:pPr>
        <w:pStyle w:val="2"/>
        <w:spacing w:before="249" w:line="189" w:lineRule="auto"/>
        <w:ind w:left="482"/>
        <w:rPr>
          <w:rFonts w:hint="default"/>
          <w:lang w:val="en-US"/>
        </w:rPr>
      </w:pPr>
      <w:r>
        <w:rPr>
          <w:rFonts w:ascii="Times New Roman" w:hAnsi="PingFang SC" w:eastAsia="PingFang SC" w:cs="PingFang SC"/>
          <w:snapToGrid w:val="0"/>
          <w:color w:val="000000"/>
          <w:spacing w:val="-1"/>
          <w:kern w:val="0"/>
          <w:sz w:val="24"/>
          <w:szCs w:val="24"/>
          <w:lang w:val="en-US" w:eastAsia="en-US" w:bidi="ar-SA"/>
        </w:rPr>
        <w:t>El significado del modelo y del código del detector es el siguiente:</w:t>
      </w:r>
    </w:p>
    <w:p w14:paraId="7BD2F75E">
      <w:pPr>
        <w:pStyle w:val="2"/>
        <w:spacing w:before="235" w:line="241" w:lineRule="auto"/>
        <w:ind w:left="900"/>
        <w:rPr>
          <w:rFonts w:hint="default"/>
          <w:lang w:val="en-US"/>
        </w:rPr>
      </w:pPr>
      <w:r>
        <w:rPr>
          <w:rFonts w:ascii="Times New Roman" w:hAnsi="PingFang SC" w:eastAsia="PingFang SC" w:cs="PingFang SC"/>
          <w:snapToGrid w:val="0"/>
          <w:color w:val="000000"/>
          <w:spacing w:val="1"/>
          <w:kern w:val="0"/>
          <w:sz w:val="24"/>
          <w:szCs w:val="24"/>
          <w:lang w:val="en-US" w:eastAsia="en-US" w:bidi="ar-SA"/>
        </w:rPr>
        <w:t>OT 139</w:t>
      </w:r>
    </w:p>
    <w:p w14:paraId="14CD9604">
      <w:pPr>
        <w:spacing w:line="325" w:lineRule="auto"/>
        <w:rPr>
          <w:rFonts w:ascii="Arial"/>
          <w:sz w:val="21"/>
        </w:rPr>
      </w:pPr>
      <w:r>
        <w:drawing>
          <wp:anchor distT="0" distB="0" distL="0" distR="0" simplePos="0" relativeHeight="251659264" behindDoc="0" locked="0" layoutInCell="1" allowOverlap="1">
            <wp:simplePos x="0" y="0"/>
            <wp:positionH relativeFrom="column">
              <wp:posOffset>494665</wp:posOffset>
            </wp:positionH>
            <wp:positionV relativeFrom="paragraph">
              <wp:posOffset>52070</wp:posOffset>
            </wp:positionV>
            <wp:extent cx="2671445" cy="770255"/>
            <wp:effectExtent l="0" t="0" r="0" b="0"/>
            <wp:wrapNone/>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22"/>
                    <a:stretch>
                      <a:fillRect/>
                    </a:stretch>
                  </pic:blipFill>
                  <pic:spPr>
                    <a:xfrm>
                      <a:off x="0" y="0"/>
                      <a:ext cx="2671457" cy="770254"/>
                    </a:xfrm>
                    <a:prstGeom prst="rect">
                      <a:avLst/>
                    </a:prstGeom>
                  </pic:spPr>
                </pic:pic>
              </a:graphicData>
            </a:graphic>
          </wp:anchor>
        </w:drawing>
      </w:r>
    </w:p>
    <w:p w14:paraId="1F0BCB1D">
      <w:pPr>
        <w:spacing w:line="326" w:lineRule="auto"/>
        <w:rPr>
          <w:rFonts w:ascii="Arial"/>
          <w:sz w:val="21"/>
        </w:rPr>
      </w:pPr>
    </w:p>
    <w:p w14:paraId="0AA9F9E4">
      <w:pPr>
        <w:pStyle w:val="2"/>
        <w:spacing w:before="110" w:line="235" w:lineRule="auto"/>
        <w:ind w:left="5185" w:right="3496" w:firstLine="13"/>
        <w:rPr>
          <w:rFonts w:hint="default"/>
          <w:lang w:val="en-US"/>
        </w:rPr>
      </w:pPr>
      <w:r>
        <w:rPr>
          <w:rFonts w:ascii="Times New Roman" w:hAnsi="PingFang SC" w:eastAsia="PingFang SC" w:cs="PingFang SC"/>
          <w:snapToGrid w:val="0"/>
          <w:color w:val="000000"/>
          <w:spacing w:val="-1"/>
          <w:kern w:val="0"/>
          <w:sz w:val="24"/>
          <w:szCs w:val="24"/>
          <w:lang w:val="en-US" w:eastAsia="en-US" w:bidi="ar-SA"/>
        </w:rPr>
        <w:t>Número de serie de diseño Tipo de producto</w:t>
      </w:r>
    </w:p>
    <w:p w14:paraId="3BEE90AE">
      <w:pPr>
        <w:spacing w:line="325" w:lineRule="auto"/>
        <w:rPr>
          <w:rFonts w:ascii="Arial"/>
          <w:sz w:val="21"/>
        </w:rPr>
      </w:pPr>
    </w:p>
    <w:p w14:paraId="3F9CF7C2">
      <w:pPr>
        <w:pStyle w:val="2"/>
        <w:spacing w:before="109" w:line="222" w:lineRule="auto"/>
        <w:jc w:val="right"/>
        <w:rPr>
          <w:rFonts w:hint="default"/>
          <w:lang w:val="en-US"/>
        </w:rPr>
      </w:pPr>
      <w:r>
        <w:rPr>
          <w:rFonts w:ascii="Times New Roman" w:hAnsi="PingFang SC" w:eastAsia="PingFang SC" w:cs="PingFang SC"/>
          <w:snapToGrid w:val="0"/>
          <w:color w:val="000000"/>
          <w:spacing w:val="-5"/>
          <w:kern w:val="0"/>
          <w:sz w:val="24"/>
          <w:szCs w:val="24"/>
          <w:lang w:val="en-US" w:eastAsia="en-US" w:bidi="ar-SA"/>
        </w:rPr>
        <w:t>OT139, donde OT designa la forma del producto e indica un detector de gas portátil; 139 es el número de serie de diseño e indica una configuración de combinación multigás.</w:t>
      </w:r>
    </w:p>
    <w:p w14:paraId="19F8326C">
      <w:pPr>
        <w:pStyle w:val="2"/>
        <w:spacing w:before="175" w:line="229" w:lineRule="auto"/>
        <w:ind w:left="23"/>
        <w:rPr>
          <w:rFonts w:hint="default"/>
          <w:lang w:val="en-US"/>
        </w:rPr>
      </w:pPr>
      <w:r>
        <w:rPr>
          <w:rFonts w:ascii="Times New Roman" w:hAnsi="PingFang SC" w:eastAsia="PingFang SC" w:cs="PingFang SC"/>
          <w:snapToGrid w:val="0"/>
          <w:color w:val="000000"/>
          <w:spacing w:val="-1"/>
          <w:kern w:val="0"/>
          <w:sz w:val="24"/>
          <w:szCs w:val="24"/>
          <w:lang w:val="en-US" w:eastAsia="en-US" w:bidi="ar-SA"/>
        </w:rPr>
        <w:t>1.3 Funciones y características principales</w:t>
      </w:r>
    </w:p>
    <w:p w14:paraId="110E247F">
      <w:pPr>
        <w:pStyle w:val="2"/>
        <w:spacing w:before="54" w:line="227" w:lineRule="auto"/>
        <w:ind w:left="23"/>
        <w:rPr>
          <w:rFonts w:hint="default"/>
          <w:lang w:val="en-US"/>
        </w:rPr>
      </w:pPr>
      <w:r>
        <w:rPr>
          <w:rFonts w:ascii="Times New Roman" w:hAnsi="PingFang SC" w:eastAsia="PingFang SC" w:cs="PingFang SC"/>
          <w:snapToGrid w:val="0"/>
          <w:color w:val="000000"/>
          <w:spacing w:val="-1"/>
          <w:kern w:val="0"/>
          <w:sz w:val="24"/>
          <w:szCs w:val="24"/>
          <w:lang w:val="en-US" w:eastAsia="en-US" w:bidi="ar-SA"/>
        </w:rPr>
        <w:t>1. Pantalla china en color de gran tamaño</w:t>
      </w:r>
    </w:p>
    <w:p w14:paraId="04F4FCF3">
      <w:pPr>
        <w:pStyle w:val="2"/>
        <w:spacing w:before="1" w:line="226" w:lineRule="auto"/>
        <w:ind w:left="12"/>
        <w:rPr>
          <w:rFonts w:hint="default"/>
          <w:lang w:val="en-US"/>
        </w:rPr>
      </w:pPr>
      <w:r>
        <w:rPr>
          <w:rFonts w:ascii="Times New Roman" w:hAnsi="PingFang SC" w:eastAsia="PingFang SC" w:cs="PingFang SC"/>
          <w:snapToGrid w:val="0"/>
          <w:color w:val="000000"/>
          <w:spacing w:val="-2"/>
          <w:kern w:val="0"/>
          <w:sz w:val="24"/>
          <w:szCs w:val="24"/>
          <w:lang w:val="en-US" w:eastAsia="en-US" w:bidi="ar-SA"/>
        </w:rPr>
        <w:t>2. Funcionamiento mediante pantalla táctil capacitiva + botones</w:t>
      </w:r>
    </w:p>
    <w:p w14:paraId="1FEE4678">
      <w:pPr>
        <w:pStyle w:val="2"/>
        <w:spacing w:before="1" w:line="225" w:lineRule="auto"/>
        <w:ind w:left="15"/>
        <w:rPr>
          <w:rFonts w:hint="default"/>
          <w:lang w:val="en-US"/>
        </w:rPr>
      </w:pPr>
      <w:r>
        <w:rPr>
          <w:rFonts w:ascii="Times New Roman" w:hAnsi="PingFang SC" w:eastAsia="PingFang SC" w:cs="PingFang SC"/>
          <w:snapToGrid w:val="0"/>
          <w:color w:val="000000"/>
          <w:spacing w:val="-4"/>
          <w:kern w:val="0"/>
          <w:sz w:val="24"/>
          <w:szCs w:val="24"/>
          <w:lang w:val="en-US" w:eastAsia="en-US" w:bidi="ar-SA"/>
        </w:rPr>
        <w:t>3. Detección rápida de los puntos de fuga de gas</w:t>
      </w:r>
    </w:p>
    <w:p w14:paraId="2E747BBB">
      <w:pPr>
        <w:pStyle w:val="2"/>
        <w:spacing w:before="2" w:line="226" w:lineRule="auto"/>
        <w:rPr>
          <w:rFonts w:hint="default"/>
          <w:lang w:val="en-US"/>
        </w:rPr>
      </w:pPr>
      <w:r>
        <w:rPr>
          <w:rFonts w:ascii="Times New Roman" w:hAnsi="PingFang SC" w:eastAsia="PingFang SC" w:cs="PingFang SC"/>
          <w:snapToGrid w:val="0"/>
          <w:color w:val="000000"/>
          <w:spacing w:val="-3"/>
          <w:kern w:val="0"/>
          <w:sz w:val="24"/>
          <w:szCs w:val="24"/>
          <w:lang w:val="en-US" w:eastAsia="en-US" w:bidi="ar-SA"/>
        </w:rPr>
        <w:t>4. Carga de datos a la nube en tiempo real</w:t>
      </w:r>
    </w:p>
    <w:p w14:paraId="58AF3A57">
      <w:pPr>
        <w:pStyle w:val="2"/>
        <w:spacing w:before="1" w:line="225" w:lineRule="auto"/>
        <w:ind w:left="18"/>
        <w:rPr>
          <w:rFonts w:hint="default"/>
          <w:lang w:val="en-US"/>
        </w:rPr>
      </w:pPr>
      <w:r>
        <w:rPr>
          <w:rFonts w:ascii="Times New Roman" w:hAnsi="PingFang SC" w:eastAsia="PingFang SC" w:cs="PingFang SC"/>
          <w:snapToGrid w:val="0"/>
          <w:color w:val="000000"/>
          <w:spacing w:val="-3"/>
          <w:kern w:val="0"/>
          <w:sz w:val="24"/>
          <w:szCs w:val="24"/>
          <w:lang w:val="en-US" w:eastAsia="en-US" w:bidi="ar-SA"/>
        </w:rPr>
        <w:t>5. Indicación de tensión baja y apagado automático en caso de subtensión</w:t>
      </w:r>
    </w:p>
    <w:p w14:paraId="306C7CE7">
      <w:pPr>
        <w:pStyle w:val="2"/>
        <w:spacing w:before="1" w:line="225" w:lineRule="auto"/>
        <w:ind w:left="12"/>
        <w:rPr>
          <w:rFonts w:hint="default"/>
          <w:lang w:val="en-US"/>
        </w:rPr>
      </w:pPr>
      <w:r>
        <w:rPr>
          <w:rFonts w:ascii="Times New Roman" w:hAnsi="PingFang SC" w:eastAsia="PingFang SC" w:cs="PingFang SC"/>
          <w:snapToGrid w:val="0"/>
          <w:color w:val="000000"/>
          <w:spacing w:val="-4"/>
          <w:kern w:val="0"/>
          <w:sz w:val="24"/>
          <w:szCs w:val="24"/>
          <w:lang w:val="en-US" w:eastAsia="en-US" w:bidi="ar-SA"/>
        </w:rPr>
        <w:t>6. Detección de fallos del sensor y función de autocomprobación al encender</w:t>
      </w:r>
    </w:p>
    <w:p w14:paraId="65DE673A">
      <w:pPr>
        <w:pStyle w:val="2"/>
        <w:spacing w:before="1" w:line="221" w:lineRule="auto"/>
        <w:ind w:left="11"/>
        <w:rPr>
          <w:rFonts w:hint="default"/>
          <w:lang w:val="en-US"/>
        </w:rPr>
      </w:pPr>
      <w:r>
        <w:rPr>
          <w:rFonts w:ascii="Times New Roman" w:hAnsi="PingFang SC" w:eastAsia="PingFang SC" w:cs="PingFang SC"/>
          <w:snapToGrid w:val="0"/>
          <w:color w:val="000000"/>
          <w:spacing w:val="-5"/>
          <w:kern w:val="0"/>
          <w:sz w:val="24"/>
          <w:szCs w:val="24"/>
          <w:lang w:val="en-US" w:eastAsia="en-US" w:bidi="ar-SA"/>
        </w:rPr>
        <w:t>7. Calentamiento rápido con un tiempo de respuesta ágil</w:t>
      </w:r>
    </w:p>
    <w:p w14:paraId="7C8EB0FC">
      <w:pPr>
        <w:spacing w:line="221" w:lineRule="auto"/>
        <w:sectPr>
          <w:footerReference r:id="rId5" w:type="default"/>
          <w:pgSz w:w="11850" w:h="16783"/>
          <w:pgMar w:top="1194" w:right="1064" w:bottom="875" w:left="1134" w:header="0" w:footer="685" w:gutter="0"/>
          <w:cols w:space="720" w:num="1"/>
        </w:sectPr>
      </w:pPr>
    </w:p>
    <w:p w14:paraId="197A7403">
      <w:pPr>
        <w:pStyle w:val="2"/>
        <w:spacing w:before="61" w:line="227" w:lineRule="auto"/>
        <w:ind w:left="2"/>
        <w:rPr>
          <w:rFonts w:hint="default"/>
          <w:lang w:val="en-US"/>
        </w:rPr>
      </w:pPr>
      <w:r>
        <w:rPr>
          <w:rFonts w:ascii="Times New Roman" w:hAnsi="PingFang SC" w:eastAsia="PingFang SC" w:cs="PingFang SC"/>
          <w:snapToGrid w:val="0"/>
          <w:color w:val="000000"/>
          <w:spacing w:val="-4"/>
          <w:kern w:val="0"/>
          <w:sz w:val="24"/>
          <w:szCs w:val="24"/>
          <w:lang w:val="en-US" w:eastAsia="en-US" w:bidi="ar-SA"/>
        </w:rPr>
        <w:t>8. Señal de alarma sonora y por vibración</w:t>
      </w:r>
    </w:p>
    <w:p w14:paraId="11FFA8EE">
      <w:pPr>
        <w:pStyle w:val="2"/>
        <w:spacing w:line="221" w:lineRule="auto"/>
        <w:ind w:left="3"/>
        <w:rPr>
          <w:rFonts w:hint="default"/>
          <w:lang w:val="en-US"/>
        </w:rPr>
      </w:pPr>
      <w:r>
        <w:rPr>
          <w:rFonts w:ascii="Times New Roman" w:hAnsi="PingFang SC" w:eastAsia="PingFang SC" w:cs="PingFang SC"/>
          <w:snapToGrid w:val="0"/>
          <w:color w:val="000000"/>
          <w:spacing w:val="-5"/>
          <w:kern w:val="0"/>
          <w:sz w:val="24"/>
          <w:szCs w:val="24"/>
          <w:lang w:val="en-US" w:eastAsia="en-US" w:bidi="ar-SA"/>
        </w:rPr>
        <w:t>9. Ajuste cómodo del punto de cero para un funcionamiento rápido y sencillo</w:t>
      </w:r>
    </w:p>
    <w:p w14:paraId="180040B0">
      <w:pPr>
        <w:pStyle w:val="2"/>
        <w:spacing w:before="7" w:line="229" w:lineRule="auto"/>
        <w:ind w:left="16"/>
        <w:rPr>
          <w:rFonts w:hint="default"/>
          <w:lang w:val="en-US"/>
        </w:rPr>
      </w:pPr>
      <w:r>
        <w:rPr>
          <w:rFonts w:ascii="Times New Roman" w:hAnsi="PingFang SC" w:eastAsia="PingFang SC" w:cs="PingFang SC"/>
          <w:snapToGrid w:val="0"/>
          <w:color w:val="000000"/>
          <w:spacing w:val="-1"/>
          <w:kern w:val="0"/>
          <w:sz w:val="24"/>
          <w:szCs w:val="24"/>
          <w:lang w:val="en-US" w:eastAsia="en-US" w:bidi="ar-SA"/>
        </w:rPr>
        <w:t>10. Permite detectar hasta ocho gases en combinación libre</w:t>
      </w:r>
    </w:p>
    <w:p w14:paraId="437C370B">
      <w:pPr>
        <w:spacing w:line="339" w:lineRule="auto"/>
        <w:rPr>
          <w:rFonts w:ascii="Arial"/>
          <w:sz w:val="21"/>
        </w:rPr>
      </w:pPr>
    </w:p>
    <w:p w14:paraId="48520443">
      <w:pPr>
        <w:pStyle w:val="2"/>
        <w:spacing w:before="128" w:line="189" w:lineRule="auto"/>
        <w:outlineLvl w:val="0"/>
        <w:rPr>
          <w:rFonts w:hint="default"/>
          <w:sz w:val="28"/>
          <w:szCs w:val="28"/>
          <w:lang w:val="en-US"/>
        </w:rPr>
      </w:pPr>
      <w:bookmarkStart w:id="3" w:name="bookmark5"/>
      <w:bookmarkEnd w:id="3"/>
      <w:bookmarkStart w:id="4" w:name="bookmark4"/>
      <w:bookmarkEnd w:id="4"/>
      <w:r>
        <w:rPr>
          <w:rFonts w:ascii="Times New Roman" w:hAnsi="PingFang SC" w:eastAsia="PingFang SC" w:cs="PingFang SC"/>
          <w:b/>
          <w:bCs/>
          <w:snapToGrid w:val="0"/>
          <w:color w:val="000000"/>
          <w:spacing w:val="-4"/>
          <w:kern w:val="0"/>
          <w:sz w:val="28"/>
          <w:szCs w:val="28"/>
          <w:lang w:val="en-US" w:eastAsia="en-US" w:bidi="ar-SA"/>
        </w:rPr>
        <w:t>II. Especificaciones técnicas principales</w:t>
      </w:r>
    </w:p>
    <w:p w14:paraId="187D6F85">
      <w:pPr>
        <w:pStyle w:val="2"/>
        <w:spacing w:before="114" w:line="230" w:lineRule="auto"/>
        <w:ind w:left="11"/>
        <w:rPr>
          <w:rFonts w:hint="default"/>
          <w:sz w:val="15"/>
          <w:szCs w:val="15"/>
          <w:lang w:val="en-US"/>
        </w:rPr>
      </w:pPr>
      <w:r>
        <w:rPr>
          <w:position w:val="-4"/>
        </w:rPr>
        <w:drawing>
          <wp:inline distT="0" distB="0" distL="0" distR="0">
            <wp:extent cx="107950" cy="168275"/>
            <wp:effectExtent l="0" t="0" r="19050" b="8255"/>
            <wp:docPr id="29" name="IM 32"/>
            <wp:cNvGraphicFramePr/>
            <a:graphic xmlns:a="http://schemas.openxmlformats.org/drawingml/2006/main">
              <a:graphicData uri="http://schemas.openxmlformats.org/drawingml/2006/picture">
                <pic:pic xmlns:pic="http://schemas.openxmlformats.org/drawingml/2006/picture">
                  <pic:nvPicPr>
                    <pic:cNvPr id="29" name="IM 32"/>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2"/>
          <w:kern w:val="0"/>
          <w:position w:val="-3"/>
          <w:sz w:val="15"/>
          <w:szCs w:val="15"/>
          <w:lang w:val="en-US" w:eastAsia="en-US" w:bidi="ar-SA"/>
        </w:rPr>
        <w:t>Gases detectables: gases combustibles/gases tóxicos y nocivos/O2</w:t>
      </w:r>
    </w:p>
    <w:p w14:paraId="2ABE3C27">
      <w:pPr>
        <w:pStyle w:val="2"/>
        <w:spacing w:before="95" w:line="215" w:lineRule="auto"/>
        <w:jc w:val="right"/>
        <w:rPr>
          <w:rFonts w:hint="default"/>
          <w:lang w:val="en-US"/>
        </w:rPr>
      </w:pPr>
      <w:r>
        <w:rPr>
          <w:position w:val="-5"/>
        </w:rPr>
        <w:drawing>
          <wp:inline distT="0" distB="0" distL="0" distR="0">
            <wp:extent cx="107950" cy="168275"/>
            <wp:effectExtent l="0" t="0" r="19050" b="8255"/>
            <wp:docPr id="32" name="IM 34"/>
            <wp:cNvGraphicFramePr/>
            <a:graphic xmlns:a="http://schemas.openxmlformats.org/drawingml/2006/main">
              <a:graphicData uri="http://schemas.openxmlformats.org/drawingml/2006/picture">
                <pic:pic xmlns:pic="http://schemas.openxmlformats.org/drawingml/2006/picture">
                  <pic:nvPicPr>
                    <pic:cNvPr id="32" name="IM 34"/>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8"/>
          <w:kern w:val="0"/>
          <w:sz w:val="24"/>
          <w:szCs w:val="24"/>
          <w:lang w:val="en-US" w:eastAsia="en-US" w:bidi="ar-SA"/>
        </w:rPr>
        <w:t>Rango de medición: (3–100)%LEL (inflamable); (0–100)µmol/mol (tóxico) (varios rangos disponibles)</w:t>
      </w:r>
    </w:p>
    <w:p w14:paraId="0034FAF6">
      <w:pPr>
        <w:pStyle w:val="2"/>
        <w:spacing w:before="123" w:line="215" w:lineRule="auto"/>
        <w:ind w:left="11"/>
        <w:rPr>
          <w:rFonts w:hint="default"/>
          <w:lang w:val="en-US"/>
        </w:rPr>
      </w:pPr>
      <w:r>
        <w:rPr>
          <w:position w:val="-5"/>
        </w:rPr>
        <w:drawing>
          <wp:inline distT="0" distB="0" distL="0" distR="0">
            <wp:extent cx="107950" cy="168275"/>
            <wp:effectExtent l="0" t="0" r="19050" b="8255"/>
            <wp:docPr id="34" name="IM 36"/>
            <wp:cNvGraphicFramePr/>
            <a:graphic xmlns:a="http://schemas.openxmlformats.org/drawingml/2006/main">
              <a:graphicData uri="http://schemas.openxmlformats.org/drawingml/2006/picture">
                <pic:pic xmlns:pic="http://schemas.openxmlformats.org/drawingml/2006/picture">
                  <pic:nvPicPr>
                    <pic:cNvPr id="34" name="IM 36"/>
                    <pic:cNvPicPr/>
                  </pic:nvPicPr>
                  <pic:blipFill>
                    <a:blip r:embed="rId20"/>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1"/>
          <w:kern w:val="0"/>
          <w:sz w:val="24"/>
          <w:szCs w:val="24"/>
          <w:lang w:val="en-US" w:eastAsia="en-US" w:bidi="ar-SA"/>
        </w:rPr>
        <w:t>Grado de precisión: ± 3%FS (inflamable); ± 5 µmol/mol o ±10% (tóxico) (según el gas específico)</w:t>
      </w:r>
    </w:p>
    <w:p w14:paraId="2AED4864">
      <w:pPr>
        <w:pStyle w:val="2"/>
        <w:spacing w:before="124" w:line="215" w:lineRule="auto"/>
        <w:ind w:left="11"/>
        <w:rPr>
          <w:rFonts w:hint="default"/>
          <w:lang w:val="en-US"/>
        </w:rPr>
      </w:pPr>
      <w:r>
        <w:rPr>
          <w:position w:val="-5"/>
        </w:rPr>
        <w:drawing>
          <wp:inline distT="0" distB="0" distL="0" distR="0">
            <wp:extent cx="107950" cy="168275"/>
            <wp:effectExtent l="0" t="0" r="19050" b="8255"/>
            <wp:docPr id="36" name="IM 38"/>
            <wp:cNvGraphicFramePr/>
            <a:graphic xmlns:a="http://schemas.openxmlformats.org/drawingml/2006/main">
              <a:graphicData uri="http://schemas.openxmlformats.org/drawingml/2006/picture">
                <pic:pic xmlns:pic="http://schemas.openxmlformats.org/drawingml/2006/picture">
                  <pic:nvPicPr>
                    <pic:cNvPr id="36" name="IM 38"/>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8"/>
          <w:kern w:val="0"/>
          <w:sz w:val="24"/>
          <w:szCs w:val="24"/>
          <w:lang w:val="en-US" w:eastAsia="en-US" w:bidi="ar-SA"/>
        </w:rPr>
        <w:t>Valor de consigna de la alarma de límite inferior: 20% LEL (inflamable)</w:t>
      </w:r>
    </w:p>
    <w:p w14:paraId="5376CF25">
      <w:pPr>
        <w:pStyle w:val="2"/>
        <w:spacing w:before="123" w:line="215" w:lineRule="auto"/>
        <w:ind w:left="11"/>
        <w:rPr>
          <w:rFonts w:hint="default"/>
          <w:lang w:val="en-US"/>
        </w:rPr>
      </w:pPr>
      <w:r>
        <w:rPr>
          <w:position w:val="-5"/>
        </w:rPr>
        <w:drawing>
          <wp:inline distT="0" distB="0" distL="0" distR="0">
            <wp:extent cx="107950" cy="168275"/>
            <wp:effectExtent l="0" t="0" r="19050" b="8255"/>
            <wp:docPr id="38" name="IM 40"/>
            <wp:cNvGraphicFramePr/>
            <a:graphic xmlns:a="http://schemas.openxmlformats.org/drawingml/2006/main">
              <a:graphicData uri="http://schemas.openxmlformats.org/drawingml/2006/picture">
                <pic:pic xmlns:pic="http://schemas.openxmlformats.org/drawingml/2006/picture">
                  <pic:nvPicPr>
                    <pic:cNvPr id="38" name="IM 40"/>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9"/>
          <w:kern w:val="0"/>
          <w:sz w:val="24"/>
          <w:szCs w:val="24"/>
          <w:lang w:val="en-US" w:eastAsia="en-US" w:bidi="ar-SA"/>
        </w:rPr>
        <w:t>Tiempo de respuesta: ≤ 30s</w:t>
      </w:r>
    </w:p>
    <w:p w14:paraId="54D9C5CA">
      <w:pPr>
        <w:pStyle w:val="2"/>
        <w:spacing w:before="124" w:line="215" w:lineRule="auto"/>
        <w:ind w:left="11"/>
        <w:rPr>
          <w:rFonts w:hint="default"/>
          <w:lang w:val="en-US"/>
        </w:rPr>
      </w:pPr>
      <w:r>
        <w:rPr>
          <w:position w:val="-5"/>
        </w:rPr>
        <w:drawing>
          <wp:inline distT="0" distB="0" distL="0" distR="0">
            <wp:extent cx="107950" cy="168275"/>
            <wp:effectExtent l="0" t="0" r="19050" b="8255"/>
            <wp:docPr id="40" name="IM 42"/>
            <wp:cNvGraphicFramePr/>
            <a:graphic xmlns:a="http://schemas.openxmlformats.org/drawingml/2006/main">
              <a:graphicData uri="http://schemas.openxmlformats.org/drawingml/2006/picture">
                <pic:pic xmlns:pic="http://schemas.openxmlformats.org/drawingml/2006/picture">
                  <pic:nvPicPr>
                    <pic:cNvPr id="40" name="IM 42"/>
                    <pic:cNvPicPr/>
                  </pic:nvPicPr>
                  <pic:blipFill>
                    <a:blip r:embed="rId20"/>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9"/>
          <w:kern w:val="0"/>
          <w:sz w:val="24"/>
          <w:szCs w:val="24"/>
          <w:lang w:val="en-US" w:eastAsia="en-US" w:bidi="ar-SA"/>
        </w:rPr>
        <w:t>Repetibilidad: ≤ 2%</w:t>
      </w:r>
    </w:p>
    <w:p w14:paraId="37F85A8E">
      <w:pPr>
        <w:pStyle w:val="2"/>
        <w:spacing w:before="155" w:line="197" w:lineRule="auto"/>
        <w:ind w:left="11"/>
        <w:rPr>
          <w:rFonts w:hint="default"/>
          <w:lang w:val="en-US"/>
        </w:rPr>
      </w:pPr>
      <w:r>
        <w:rPr>
          <w:position w:val="-4"/>
        </w:rPr>
        <w:drawing>
          <wp:inline distT="0" distB="0" distL="0" distR="0">
            <wp:extent cx="107950" cy="168275"/>
            <wp:effectExtent l="0" t="0" r="19050" b="8255"/>
            <wp:docPr id="42" name="IM 44"/>
            <wp:cNvGraphicFramePr/>
            <a:graphic xmlns:a="http://schemas.openxmlformats.org/drawingml/2006/main">
              <a:graphicData uri="http://schemas.openxmlformats.org/drawingml/2006/picture">
                <pic:pic xmlns:pic="http://schemas.openxmlformats.org/drawingml/2006/picture">
                  <pic:nvPicPr>
                    <pic:cNvPr id="42" name="IM 44"/>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1"/>
          <w:kern w:val="0"/>
          <w:sz w:val="24"/>
          <w:szCs w:val="24"/>
          <w:lang w:val="en-US" w:eastAsia="en-US" w:bidi="ar-SA"/>
        </w:rPr>
        <w:t>Método de detección: tipo de aspiración por bomba</w:t>
      </w:r>
    </w:p>
    <w:p w14:paraId="14C08DA6">
      <w:pPr>
        <w:pStyle w:val="2"/>
        <w:spacing w:before="157" w:line="197" w:lineRule="auto"/>
        <w:ind w:left="11"/>
        <w:rPr>
          <w:rFonts w:hint="default"/>
          <w:lang w:val="en-US"/>
        </w:rPr>
      </w:pPr>
      <w:r>
        <w:rPr>
          <w:position w:val="-4"/>
        </w:rPr>
        <w:drawing>
          <wp:inline distT="0" distB="0" distL="0" distR="0">
            <wp:extent cx="107950" cy="168275"/>
            <wp:effectExtent l="0" t="0" r="19050" b="8255"/>
            <wp:docPr id="44" name="IM 46"/>
            <wp:cNvGraphicFramePr/>
            <a:graphic xmlns:a="http://schemas.openxmlformats.org/drawingml/2006/main">
              <a:graphicData uri="http://schemas.openxmlformats.org/drawingml/2006/picture">
                <pic:pic xmlns:pic="http://schemas.openxmlformats.org/drawingml/2006/picture">
                  <pic:nvPicPr>
                    <pic:cNvPr id="44" name="IM 46"/>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1"/>
          <w:kern w:val="0"/>
          <w:sz w:val="24"/>
          <w:szCs w:val="24"/>
          <w:lang w:val="en-US" w:eastAsia="en-US" w:bidi="ar-SA"/>
        </w:rPr>
        <w:t>Principio de detección: tipo catalítico; tipo electroquímico</w:t>
      </w:r>
    </w:p>
    <w:p w14:paraId="3FBC79CD">
      <w:pPr>
        <w:pStyle w:val="2"/>
        <w:spacing w:before="123" w:line="215" w:lineRule="auto"/>
        <w:ind w:left="11"/>
        <w:rPr>
          <w:rFonts w:hint="default"/>
          <w:lang w:val="en-US"/>
        </w:rPr>
      </w:pPr>
      <w:r>
        <w:rPr>
          <w:position w:val="-5"/>
        </w:rPr>
        <w:drawing>
          <wp:inline distT="0" distB="0" distL="0" distR="0">
            <wp:extent cx="107950" cy="168275"/>
            <wp:effectExtent l="0" t="0" r="19050" b="8255"/>
            <wp:docPr id="46" name="IM 48"/>
            <wp:cNvGraphicFramePr/>
            <a:graphic xmlns:a="http://schemas.openxmlformats.org/drawingml/2006/main">
              <a:graphicData uri="http://schemas.openxmlformats.org/drawingml/2006/picture">
                <pic:pic xmlns:pic="http://schemas.openxmlformats.org/drawingml/2006/picture">
                  <pic:nvPicPr>
                    <pic:cNvPr id="46" name="IM 48"/>
                    <pic:cNvPicPr/>
                  </pic:nvPicPr>
                  <pic:blipFill>
                    <a:blip r:embed="rId21"/>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3"/>
          <w:kern w:val="0"/>
          <w:sz w:val="24"/>
          <w:szCs w:val="24"/>
          <w:lang w:val="en-US" w:eastAsia="en-US" w:bidi="ar-SA"/>
        </w:rPr>
        <w:t>Tensión de alimentación: DC7.4V</w:t>
      </w:r>
    </w:p>
    <w:p w14:paraId="771D780E">
      <w:pPr>
        <w:pStyle w:val="2"/>
        <w:spacing w:before="122" w:line="215" w:lineRule="auto"/>
        <w:ind w:left="11"/>
        <w:rPr>
          <w:rFonts w:hint="default"/>
          <w:lang w:val="en-US"/>
        </w:rPr>
      </w:pPr>
      <w:r>
        <w:rPr>
          <w:position w:val="-5"/>
        </w:rPr>
        <w:drawing>
          <wp:inline distT="0" distB="0" distL="0" distR="0">
            <wp:extent cx="107950" cy="168275"/>
            <wp:effectExtent l="0" t="0" r="19050" b="8255"/>
            <wp:docPr id="48" name="IM 50"/>
            <wp:cNvGraphicFramePr/>
            <a:graphic xmlns:a="http://schemas.openxmlformats.org/drawingml/2006/main">
              <a:graphicData uri="http://schemas.openxmlformats.org/drawingml/2006/picture">
                <pic:pic xmlns:pic="http://schemas.openxmlformats.org/drawingml/2006/picture">
                  <pic:nvPicPr>
                    <pic:cNvPr id="48" name="IM 50"/>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4"/>
          <w:kern w:val="0"/>
          <w:sz w:val="24"/>
          <w:szCs w:val="24"/>
          <w:lang w:val="en-US" w:eastAsia="en-US" w:bidi="ar-SA"/>
        </w:rPr>
        <w:t>Modelo de batería: FRT-FB182S01C</w:t>
      </w:r>
    </w:p>
    <w:p w14:paraId="306FFBA9">
      <w:pPr>
        <w:pStyle w:val="2"/>
        <w:spacing w:before="125" w:line="215" w:lineRule="auto"/>
        <w:ind w:left="11"/>
        <w:rPr>
          <w:rFonts w:hint="default"/>
          <w:lang w:val="en-US"/>
        </w:rPr>
      </w:pPr>
      <w:r>
        <w:rPr>
          <w:position w:val="-5"/>
        </w:rPr>
        <w:drawing>
          <wp:inline distT="0" distB="0" distL="0" distR="0">
            <wp:extent cx="107950" cy="168275"/>
            <wp:effectExtent l="0" t="0" r="19050" b="8255"/>
            <wp:docPr id="50" name="IM 52"/>
            <wp:cNvGraphicFramePr/>
            <a:graphic xmlns:a="http://schemas.openxmlformats.org/drawingml/2006/main">
              <a:graphicData uri="http://schemas.openxmlformats.org/drawingml/2006/picture">
                <pic:pic xmlns:pic="http://schemas.openxmlformats.org/drawingml/2006/picture">
                  <pic:nvPicPr>
                    <pic:cNvPr id="50" name="IM 52"/>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kern w:val="0"/>
          <w:sz w:val="24"/>
          <w:szCs w:val="24"/>
          <w:lang w:val="en-US" w:eastAsia="en-US" w:bidi="ar-SA"/>
        </w:rPr>
        <w:t>Capacidad de la batería: 3000mAh batería de litio recargable</w:t>
      </w:r>
    </w:p>
    <w:p w14:paraId="50EE5BA4">
      <w:pPr>
        <w:pStyle w:val="2"/>
        <w:spacing w:before="122" w:line="215" w:lineRule="auto"/>
        <w:ind w:left="11"/>
        <w:rPr>
          <w:rFonts w:hint="default"/>
          <w:lang w:val="en-US"/>
        </w:rPr>
      </w:pPr>
      <w:r>
        <w:rPr>
          <w:position w:val="-5"/>
        </w:rPr>
        <w:drawing>
          <wp:inline distT="0" distB="0" distL="0" distR="0">
            <wp:extent cx="107950" cy="168275"/>
            <wp:effectExtent l="0" t="0" r="19050" b="8255"/>
            <wp:docPr id="52" name="IM 54"/>
            <wp:cNvGraphicFramePr/>
            <a:graphic xmlns:a="http://schemas.openxmlformats.org/drawingml/2006/main">
              <a:graphicData uri="http://schemas.openxmlformats.org/drawingml/2006/picture">
                <pic:pic xmlns:pic="http://schemas.openxmlformats.org/drawingml/2006/picture">
                  <pic:nvPicPr>
                    <pic:cNvPr id="52" name="IM 54"/>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3"/>
          <w:kern w:val="0"/>
          <w:sz w:val="24"/>
          <w:szCs w:val="24"/>
          <w:lang w:val="en-US" w:eastAsia="en-US" w:bidi="ar-SA"/>
        </w:rPr>
        <w:t>Temperatura ambiente: -10°C a 55°C</w:t>
      </w:r>
    </w:p>
    <w:p w14:paraId="67BCED05">
      <w:pPr>
        <w:pStyle w:val="2"/>
        <w:spacing w:before="125" w:line="215" w:lineRule="auto"/>
        <w:ind w:left="11"/>
        <w:rPr>
          <w:rFonts w:hint="default"/>
          <w:lang w:val="en-US"/>
        </w:rPr>
      </w:pPr>
      <w:r>
        <w:rPr>
          <w:position w:val="-5"/>
        </w:rPr>
        <w:drawing>
          <wp:inline distT="0" distB="0" distL="0" distR="0">
            <wp:extent cx="107950" cy="168275"/>
            <wp:effectExtent l="0" t="0" r="19050" b="8255"/>
            <wp:docPr id="54" name="IM 56"/>
            <wp:cNvGraphicFramePr/>
            <a:graphic xmlns:a="http://schemas.openxmlformats.org/drawingml/2006/main">
              <a:graphicData uri="http://schemas.openxmlformats.org/drawingml/2006/picture">
                <pic:pic xmlns:pic="http://schemas.openxmlformats.org/drawingml/2006/picture">
                  <pic:nvPicPr>
                    <pic:cNvPr id="54" name="IM 56"/>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4"/>
          <w:kern w:val="0"/>
          <w:sz w:val="24"/>
          <w:szCs w:val="24"/>
          <w:lang w:val="en-US" w:eastAsia="en-US" w:bidi="ar-SA"/>
        </w:rPr>
        <w:t>Humedad relativa: (20～93)% (sin condensación)</w:t>
      </w:r>
    </w:p>
    <w:p w14:paraId="0298842E">
      <w:pPr>
        <w:pStyle w:val="2"/>
        <w:spacing w:before="122" w:line="215" w:lineRule="auto"/>
        <w:ind w:left="11"/>
        <w:rPr>
          <w:rFonts w:hint="default"/>
          <w:lang w:val="en-US"/>
        </w:rPr>
      </w:pPr>
      <w:r>
        <w:rPr>
          <w:position w:val="-5"/>
        </w:rPr>
        <w:drawing>
          <wp:inline distT="0" distB="0" distL="0" distR="0">
            <wp:extent cx="107950" cy="168275"/>
            <wp:effectExtent l="0" t="0" r="19050" b="8255"/>
            <wp:docPr id="56" name="IM 58"/>
            <wp:cNvGraphicFramePr/>
            <a:graphic xmlns:a="http://schemas.openxmlformats.org/drawingml/2006/main">
              <a:graphicData uri="http://schemas.openxmlformats.org/drawingml/2006/picture">
                <pic:pic xmlns:pic="http://schemas.openxmlformats.org/drawingml/2006/picture">
                  <pic:nvPicPr>
                    <pic:cNvPr id="56" name="IM 58"/>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8"/>
          <w:kern w:val="0"/>
          <w:sz w:val="24"/>
          <w:szCs w:val="24"/>
          <w:lang w:val="en-US" w:eastAsia="en-US" w:bidi="ar-SA"/>
        </w:rPr>
        <w:t>Tiempo de calentamiento: ≤ 30s</w:t>
      </w:r>
    </w:p>
    <w:p w14:paraId="3D5F52A5">
      <w:pPr>
        <w:pStyle w:val="2"/>
        <w:spacing w:before="156" w:line="191" w:lineRule="auto"/>
        <w:ind w:left="11"/>
        <w:rPr>
          <w:rFonts w:hint="default"/>
          <w:lang w:val="en-US"/>
        </w:rPr>
      </w:pPr>
      <w:r>
        <w:rPr>
          <w:position w:val="-5"/>
        </w:rPr>
        <w:drawing>
          <wp:inline distT="0" distB="0" distL="0" distR="0">
            <wp:extent cx="107950" cy="168275"/>
            <wp:effectExtent l="0" t="0" r="19050" b="8255"/>
            <wp:docPr id="58" name="IM 60"/>
            <wp:cNvGraphicFramePr/>
            <a:graphic xmlns:a="http://schemas.openxmlformats.org/drawingml/2006/main">
              <a:graphicData uri="http://schemas.openxmlformats.org/drawingml/2006/picture">
                <pic:pic xmlns:pic="http://schemas.openxmlformats.org/drawingml/2006/picture">
                  <pic:nvPicPr>
                    <pic:cNvPr id="58" name="IM 60"/>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4"/>
          <w:kern w:val="0"/>
          <w:sz w:val="24"/>
          <w:szCs w:val="24"/>
          <w:lang w:val="en-US" w:eastAsia="en-US" w:bidi="ar-SA"/>
        </w:rPr>
        <w:t>Método de visualización: pantalla de cristal líquido LCD en color</w:t>
      </w:r>
    </w:p>
    <w:p w14:paraId="4C4C34AA">
      <w:pPr>
        <w:pStyle w:val="2"/>
        <w:spacing w:before="135" w:line="215" w:lineRule="auto"/>
        <w:ind w:left="11"/>
        <w:rPr>
          <w:rFonts w:hint="default"/>
          <w:lang w:val="en-US"/>
        </w:rPr>
      </w:pPr>
      <w:r>
        <w:rPr>
          <w:position w:val="-5"/>
        </w:rPr>
        <w:drawing>
          <wp:inline distT="0" distB="0" distL="0" distR="0">
            <wp:extent cx="107950" cy="168275"/>
            <wp:effectExtent l="0" t="0" r="19050" b="8255"/>
            <wp:docPr id="60" name="IM 62"/>
            <wp:cNvGraphicFramePr/>
            <a:graphic xmlns:a="http://schemas.openxmlformats.org/drawingml/2006/main">
              <a:graphicData uri="http://schemas.openxmlformats.org/drawingml/2006/picture">
                <pic:pic xmlns:pic="http://schemas.openxmlformats.org/drawingml/2006/picture">
                  <pic:nvPicPr>
                    <pic:cNvPr id="60" name="IM 62"/>
                    <pic:cNvPicPr/>
                  </pic:nvPicPr>
                  <pic:blipFill>
                    <a:blip r:embed="rId20"/>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1"/>
          <w:kern w:val="0"/>
          <w:sz w:val="24"/>
          <w:szCs w:val="24"/>
          <w:lang w:val="en-US" w:eastAsia="en-US" w:bidi="ar-SA"/>
        </w:rPr>
        <w:t>Tiempo de carga: menos de 5 horas</w:t>
      </w:r>
    </w:p>
    <w:p w14:paraId="107D2A23">
      <w:pPr>
        <w:pStyle w:val="2"/>
        <w:spacing w:before="122" w:line="215" w:lineRule="auto"/>
        <w:ind w:left="11"/>
        <w:rPr>
          <w:rFonts w:hint="default"/>
          <w:lang w:val="en-US"/>
        </w:rPr>
      </w:pPr>
      <w:r>
        <w:rPr>
          <w:position w:val="-5"/>
        </w:rPr>
        <w:drawing>
          <wp:inline distT="0" distB="0" distL="0" distR="0">
            <wp:extent cx="107950" cy="168275"/>
            <wp:effectExtent l="0" t="0" r="19050" b="8255"/>
            <wp:docPr id="62" name="IM 64"/>
            <wp:cNvGraphicFramePr/>
            <a:graphic xmlns:a="http://schemas.openxmlformats.org/drawingml/2006/main">
              <a:graphicData uri="http://schemas.openxmlformats.org/drawingml/2006/picture">
                <pic:pic xmlns:pic="http://schemas.openxmlformats.org/drawingml/2006/picture">
                  <pic:nvPicPr>
                    <pic:cNvPr id="62" name="IM 64"/>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2"/>
          <w:kern w:val="0"/>
          <w:sz w:val="24"/>
          <w:szCs w:val="24"/>
          <w:lang w:val="en-US" w:eastAsia="en-US" w:bidi="ar-SA"/>
        </w:rPr>
        <w:t>Tiempo de funcionamiento continuo: no inferior a 12 horas</w:t>
      </w:r>
    </w:p>
    <w:p w14:paraId="4A4B96D4">
      <w:pPr>
        <w:pStyle w:val="2"/>
        <w:spacing w:before="125" w:line="215" w:lineRule="auto"/>
        <w:ind w:left="11"/>
        <w:rPr>
          <w:rFonts w:hint="default"/>
          <w:lang w:val="en-US"/>
        </w:rPr>
      </w:pPr>
      <w:r>
        <w:rPr>
          <w:position w:val="-5"/>
        </w:rPr>
        <w:drawing>
          <wp:inline distT="0" distB="0" distL="0" distR="0">
            <wp:extent cx="107950" cy="168275"/>
            <wp:effectExtent l="0" t="0" r="19050" b="8255"/>
            <wp:docPr id="64" name="IM 66"/>
            <wp:cNvGraphicFramePr/>
            <a:graphic xmlns:a="http://schemas.openxmlformats.org/drawingml/2006/main">
              <a:graphicData uri="http://schemas.openxmlformats.org/drawingml/2006/picture">
                <pic:pic xmlns:pic="http://schemas.openxmlformats.org/drawingml/2006/picture">
                  <pic:nvPicPr>
                    <pic:cNvPr id="64" name="IM 66"/>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1"/>
          <w:kern w:val="0"/>
          <w:sz w:val="24"/>
          <w:szCs w:val="24"/>
          <w:lang w:val="en-US" w:eastAsia="en-US" w:bidi="ar-SA"/>
        </w:rPr>
        <w:t>Número de certificado antideflagrante: CNEx23.1393X</w:t>
      </w:r>
    </w:p>
    <w:p w14:paraId="7D43F29C">
      <w:pPr>
        <w:pStyle w:val="2"/>
        <w:spacing w:before="122" w:line="215" w:lineRule="auto"/>
        <w:ind w:left="11"/>
        <w:rPr>
          <w:rFonts w:hint="default"/>
          <w:lang w:val="en-US"/>
        </w:rPr>
      </w:pPr>
      <w:r>
        <w:rPr>
          <w:position w:val="-5"/>
        </w:rPr>
        <w:drawing>
          <wp:inline distT="0" distB="0" distL="0" distR="0">
            <wp:extent cx="107950" cy="168275"/>
            <wp:effectExtent l="0" t="0" r="19050" b="8255"/>
            <wp:docPr id="66" name="IM 68"/>
            <wp:cNvGraphicFramePr/>
            <a:graphic xmlns:a="http://schemas.openxmlformats.org/drawingml/2006/main">
              <a:graphicData uri="http://schemas.openxmlformats.org/drawingml/2006/picture">
                <pic:pic xmlns:pic="http://schemas.openxmlformats.org/drawingml/2006/picture">
                  <pic:nvPicPr>
                    <pic:cNvPr id="66" name="IM 68"/>
                    <pic:cNvPicPr/>
                  </pic:nvPicPr>
                  <pic:blipFill>
                    <a:blip r:embed="rId21"/>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5"/>
          <w:kern w:val="0"/>
          <w:sz w:val="24"/>
          <w:szCs w:val="24"/>
          <w:lang w:val="en-US" w:eastAsia="en-US" w:bidi="ar-SA"/>
        </w:rPr>
        <w:t>Grado de protección antideflagrante: Ex ib ⅡB T4 Gb / Ex ib ⅢC T130℃ Db</w:t>
      </w:r>
    </w:p>
    <w:p w14:paraId="567DE314">
      <w:pPr>
        <w:pStyle w:val="2"/>
        <w:spacing w:before="123" w:line="215" w:lineRule="auto"/>
        <w:ind w:left="11"/>
        <w:rPr>
          <w:rFonts w:hint="default"/>
          <w:lang w:val="en-US"/>
        </w:rPr>
      </w:pPr>
      <w:r>
        <w:rPr>
          <w:position w:val="-5"/>
        </w:rPr>
        <w:drawing>
          <wp:inline distT="0" distB="0" distL="0" distR="0">
            <wp:extent cx="107950" cy="168275"/>
            <wp:effectExtent l="0" t="0" r="19050" b="8255"/>
            <wp:docPr id="68" name="IM 70"/>
            <wp:cNvGraphicFramePr/>
            <a:graphic xmlns:a="http://schemas.openxmlformats.org/drawingml/2006/main">
              <a:graphicData uri="http://schemas.openxmlformats.org/drawingml/2006/picture">
                <pic:pic xmlns:pic="http://schemas.openxmlformats.org/drawingml/2006/picture">
                  <pic:nvPicPr>
                    <pic:cNvPr id="68" name="IM 70"/>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4"/>
          <w:kern w:val="0"/>
          <w:sz w:val="24"/>
          <w:szCs w:val="24"/>
          <w:lang w:val="en-US" w:eastAsia="en-US" w:bidi="ar-SA"/>
        </w:rPr>
        <w:t>Grado de protección: IP66 o superior</w:t>
      </w:r>
    </w:p>
    <w:p w14:paraId="76347754">
      <w:pPr>
        <w:pStyle w:val="2"/>
        <w:spacing w:before="124" w:line="215" w:lineRule="auto"/>
        <w:ind w:left="11"/>
        <w:rPr>
          <w:rFonts w:hint="default"/>
          <w:lang w:val="en-US"/>
        </w:rPr>
      </w:pPr>
      <w:r>
        <w:rPr>
          <w:position w:val="-5"/>
        </w:rPr>
        <w:drawing>
          <wp:inline distT="0" distB="0" distL="0" distR="0">
            <wp:extent cx="107950" cy="168275"/>
            <wp:effectExtent l="0" t="0" r="19050" b="8255"/>
            <wp:docPr id="70" name="IM 72"/>
            <wp:cNvGraphicFramePr/>
            <a:graphic xmlns:a="http://schemas.openxmlformats.org/drawingml/2006/main">
              <a:graphicData uri="http://schemas.openxmlformats.org/drawingml/2006/picture">
                <pic:pic xmlns:pic="http://schemas.openxmlformats.org/drawingml/2006/picture">
                  <pic:nvPicPr>
                    <pic:cNvPr id="70" name="IM 72"/>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5"/>
          <w:kern w:val="0"/>
          <w:sz w:val="24"/>
          <w:szCs w:val="24"/>
          <w:lang w:val="en-US" w:eastAsia="en-US" w:bidi="ar-SA"/>
        </w:rPr>
        <w:t>Dimensiones: 190x85x41 (mm)</w:t>
      </w:r>
    </w:p>
    <w:p w14:paraId="53805ADA">
      <w:pPr>
        <w:pStyle w:val="2"/>
        <w:spacing w:before="122" w:line="215" w:lineRule="auto"/>
        <w:ind w:left="11"/>
        <w:rPr>
          <w:rFonts w:hint="default"/>
          <w:lang w:val="en-US"/>
        </w:rPr>
      </w:pPr>
      <w:r>
        <w:rPr>
          <w:position w:val="-5"/>
        </w:rPr>
        <w:drawing>
          <wp:inline distT="0" distB="0" distL="0" distR="0">
            <wp:extent cx="107950" cy="168275"/>
            <wp:effectExtent l="0" t="0" r="19050" b="8255"/>
            <wp:docPr id="72" name="IM 74"/>
            <wp:cNvGraphicFramePr/>
            <a:graphic xmlns:a="http://schemas.openxmlformats.org/drawingml/2006/main">
              <a:graphicData uri="http://schemas.openxmlformats.org/drawingml/2006/picture">
                <pic:pic xmlns:pic="http://schemas.openxmlformats.org/drawingml/2006/picture">
                  <pic:nvPicPr>
                    <pic:cNvPr id="72" name="IM 74"/>
                    <pic:cNvPicPr/>
                  </pic:nvPicPr>
                  <pic:blipFill>
                    <a:blip r:embed="rId19"/>
                    <a:stretch>
                      <a:fillRect/>
                    </a:stretch>
                  </pic:blipFill>
                  <pic:spPr>
                    <a:xfrm>
                      <a:off x="0" y="0"/>
                      <a:ext cx="108204" cy="168859"/>
                    </a:xfrm>
                    <a:prstGeom prst="rect">
                      <a:avLst/>
                    </a:prstGeom>
                  </pic:spPr>
                </pic:pic>
              </a:graphicData>
            </a:graphic>
          </wp:inline>
        </w:drawing>
      </w:r>
      <w:r>
        <w:rPr>
          <w:rFonts w:ascii="Times New Roman" w:hAnsi="PingFang SC" w:eastAsia="PingFang SC" w:cs="PingFang SC"/>
          <w:snapToGrid w:val="0"/>
          <w:color w:val="000000"/>
          <w:spacing w:val="-1"/>
          <w:kern w:val="0"/>
          <w:sz w:val="24"/>
          <w:szCs w:val="24"/>
          <w:lang w:val="en-US" w:eastAsia="en-US" w:bidi="ar-SA"/>
        </w:rPr>
        <w:t>Peso: aproximadamente 800g</w:t>
      </w:r>
    </w:p>
    <w:p w14:paraId="4773A978">
      <w:pPr>
        <w:pStyle w:val="2"/>
        <w:spacing w:before="168" w:line="189" w:lineRule="auto"/>
        <w:ind w:left="475"/>
        <w:rPr>
          <w:rFonts w:hint="default"/>
          <w:lang w:val="en-US"/>
        </w:rPr>
      </w:pPr>
      <w:r>
        <w:rPr>
          <w:rFonts w:ascii="Times New Roman" w:hAnsi="PingFang SC" w:eastAsia="PingFang SC" w:cs="PingFang SC"/>
          <w:b/>
          <w:bCs/>
          <w:snapToGrid w:val="0"/>
          <w:color w:val="000000"/>
          <w:spacing w:val="-3"/>
          <w:kern w:val="0"/>
          <w:sz w:val="24"/>
          <w:szCs w:val="24"/>
          <w:lang w:val="en-US" w:eastAsia="en-US" w:bidi="ar-SA"/>
        </w:rPr>
        <w:t>Para conocer los parámetros de tipos de gas específicos, consulte con el servicio de atención al cliente.</w:t>
      </w:r>
    </w:p>
    <w:p w14:paraId="2D942687">
      <w:pPr>
        <w:spacing w:line="189" w:lineRule="auto"/>
        <w:sectPr>
          <w:footerReference r:id="rId6" w:type="default"/>
          <w:pgSz w:w="11850" w:h="16783"/>
          <w:pgMar w:top="1123" w:right="1149" w:bottom="875" w:left="1141" w:header="0" w:footer="685" w:gutter="0"/>
          <w:cols w:space="720" w:num="1"/>
        </w:sectPr>
      </w:pPr>
    </w:p>
    <w:p w14:paraId="182817F1">
      <w:pPr>
        <w:pStyle w:val="2"/>
        <w:spacing w:before="55" w:line="190" w:lineRule="auto"/>
        <w:ind w:left="119"/>
        <w:outlineLvl w:val="0"/>
        <w:rPr>
          <w:rFonts w:hint="default"/>
          <w:sz w:val="28"/>
          <w:szCs w:val="28"/>
          <w:lang w:val="en-US"/>
        </w:rPr>
      </w:pPr>
      <w:bookmarkStart w:id="5" w:name="bookmark6"/>
      <w:bookmarkEnd w:id="5"/>
      <w:bookmarkStart w:id="6" w:name="bookmark1"/>
      <w:bookmarkEnd w:id="6"/>
      <w:bookmarkStart w:id="7" w:name="bookmark1"/>
      <w:bookmarkEnd w:id="7"/>
      <w:bookmarkStart w:id="8" w:name="bookmark7"/>
      <w:bookmarkEnd w:id="8"/>
      <w:r>
        <w:rPr>
          <w:rFonts w:ascii="Times New Roman" w:hAnsi="PingFang SC" w:eastAsia="PingFang SC" w:cs="PingFang SC"/>
          <w:b/>
          <w:bCs/>
          <w:snapToGrid w:val="0"/>
          <w:color w:val="000000"/>
          <w:spacing w:val="-4"/>
          <w:kern w:val="0"/>
          <w:sz w:val="28"/>
          <w:szCs w:val="28"/>
          <w:lang w:val="en-US" w:eastAsia="en-US" w:bidi="ar-SA"/>
        </w:rPr>
        <w:t>III. Aspecto natural e indicación funcional</w:t>
      </w:r>
    </w:p>
    <w:p w14:paraId="11193B66">
      <w:pPr>
        <w:pStyle w:val="2"/>
        <w:spacing w:before="212" w:line="233" w:lineRule="auto"/>
        <w:ind w:left="130"/>
        <w:rPr>
          <w:rFonts w:hint="default"/>
          <w:lang w:val="en-US"/>
        </w:rPr>
      </w:pPr>
      <w:r>
        <w:rPr>
          <w:rFonts w:ascii="Times New Roman" w:hAnsi="PingFang SC" w:eastAsia="PingFang SC" w:cs="PingFang SC"/>
          <w:b/>
          <w:bCs/>
          <w:snapToGrid w:val="0"/>
          <w:color w:val="000000"/>
          <w:spacing w:val="3"/>
          <w:kern w:val="0"/>
          <w:sz w:val="24"/>
          <w:szCs w:val="24"/>
          <w:lang w:val="en-US" w:eastAsia="en-US" w:bidi="ar-SA"/>
        </w:rPr>
        <w:t>3.1 Aspecto del equipo</w:t>
      </w:r>
    </w:p>
    <w:p w14:paraId="18C48908">
      <w:pPr>
        <w:spacing w:before="129" w:line="6384" w:lineRule="exact"/>
        <w:ind w:firstLine="2648"/>
      </w:pPr>
      <w:r>
        <w:rPr>
          <w:position w:val="-127"/>
        </w:rPr>
        <w:drawing>
          <wp:inline distT="0" distB="0" distL="0" distR="0">
            <wp:extent cx="2865120" cy="4053205"/>
            <wp:effectExtent l="0" t="0" r="0" b="0"/>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23"/>
                    <a:stretch>
                      <a:fillRect/>
                    </a:stretch>
                  </pic:blipFill>
                  <pic:spPr>
                    <a:xfrm>
                      <a:off x="0" y="0"/>
                      <a:ext cx="2865120" cy="4053839"/>
                    </a:xfrm>
                    <a:prstGeom prst="rect">
                      <a:avLst/>
                    </a:prstGeom>
                  </pic:spPr>
                </pic:pic>
              </a:graphicData>
            </a:graphic>
          </wp:inline>
        </w:drawing>
      </w:r>
    </w:p>
    <w:p w14:paraId="603C8B5F">
      <w:pPr>
        <w:spacing w:before="155"/>
      </w:pPr>
    </w:p>
    <w:tbl>
      <w:tblPr>
        <w:tblStyle w:val="5"/>
        <w:tblW w:w="979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34"/>
        <w:gridCol w:w="3365"/>
        <w:gridCol w:w="1465"/>
        <w:gridCol w:w="3434"/>
      </w:tblGrid>
      <w:tr w14:paraId="28003E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1534" w:type="dxa"/>
            <w:vAlign w:val="top"/>
          </w:tcPr>
          <w:p w14:paraId="045D4EF2">
            <w:pPr>
              <w:spacing w:before="40" w:line="191" w:lineRule="auto"/>
              <w:ind w:left="532"/>
              <w:rPr>
                <w:rFonts w:hint="default" w:ascii="PingFang SC" w:hAnsi="PingFang SC" w:eastAsia="PingFang SC" w:cs="PingFang SC"/>
                <w:sz w:val="24"/>
                <w:szCs w:val="24"/>
                <w:lang w:val="en-US"/>
              </w:rPr>
            </w:pPr>
            <w:r>
              <w:rPr>
                <w:rFonts w:ascii="Times New Roman" w:hAnsi="PingFang SC" w:eastAsia="PingFang SC" w:cs="PingFang SC"/>
                <w:snapToGrid w:val="0"/>
                <w:color w:val="000000"/>
                <w:spacing w:val="-5"/>
                <w:kern w:val="0"/>
                <w:sz w:val="24"/>
                <w:szCs w:val="24"/>
                <w:lang w:val="en-US" w:eastAsia="en-US" w:bidi="ar-SA"/>
              </w:rPr>
              <w:t>número de orden</w:t>
            </w:r>
          </w:p>
        </w:tc>
        <w:tc>
          <w:tcPr>
            <w:tcW w:w="3365" w:type="dxa"/>
            <w:vAlign w:val="top"/>
          </w:tcPr>
          <w:p w14:paraId="3A85D63E">
            <w:pPr>
              <w:spacing w:before="41" w:line="191" w:lineRule="auto"/>
              <w:ind w:left="1450"/>
              <w:rPr>
                <w:rFonts w:hint="default" w:ascii="PingFang SC" w:hAnsi="PingFang SC" w:eastAsia="PingFang SC" w:cs="PingFang SC"/>
                <w:sz w:val="24"/>
                <w:szCs w:val="24"/>
                <w:lang w:val="en-US"/>
              </w:rPr>
            </w:pPr>
            <w:r>
              <w:rPr>
                <w:rFonts w:ascii="Times New Roman" w:hAnsi="PingFang SC" w:eastAsia="PingFang SC" w:cs="PingFang SC"/>
                <w:snapToGrid w:val="0"/>
                <w:color w:val="000000"/>
                <w:spacing w:val="-7"/>
                <w:kern w:val="0"/>
                <w:sz w:val="24"/>
                <w:szCs w:val="24"/>
                <w:lang w:val="en-US" w:eastAsia="en-US" w:bidi="ar-SA"/>
              </w:rPr>
              <w:t>nombre</w:t>
            </w:r>
          </w:p>
        </w:tc>
        <w:tc>
          <w:tcPr>
            <w:tcW w:w="1465" w:type="dxa"/>
            <w:vAlign w:val="top"/>
          </w:tcPr>
          <w:p w14:paraId="55434375">
            <w:pPr>
              <w:spacing w:before="40" w:line="191" w:lineRule="auto"/>
              <w:ind w:left="498"/>
              <w:rPr>
                <w:rFonts w:hint="default" w:ascii="PingFang SC" w:hAnsi="PingFang SC" w:eastAsia="PingFang SC" w:cs="PingFang SC"/>
                <w:sz w:val="24"/>
                <w:szCs w:val="24"/>
                <w:lang w:val="en-US"/>
              </w:rPr>
            </w:pPr>
            <w:r>
              <w:rPr>
                <w:rFonts w:ascii="Times New Roman" w:hAnsi="PingFang SC" w:eastAsia="PingFang SC" w:cs="PingFang SC"/>
                <w:snapToGrid w:val="0"/>
                <w:color w:val="000000"/>
                <w:spacing w:val="-5"/>
                <w:kern w:val="0"/>
                <w:sz w:val="24"/>
                <w:szCs w:val="24"/>
                <w:lang w:val="en-US" w:eastAsia="en-US" w:bidi="ar-SA"/>
              </w:rPr>
              <w:t>número de orden</w:t>
            </w:r>
          </w:p>
        </w:tc>
        <w:tc>
          <w:tcPr>
            <w:tcW w:w="3434" w:type="dxa"/>
            <w:vAlign w:val="top"/>
          </w:tcPr>
          <w:p w14:paraId="36E963F3">
            <w:pPr>
              <w:spacing w:before="41" w:line="191" w:lineRule="auto"/>
              <w:ind w:left="1485"/>
              <w:rPr>
                <w:rFonts w:hint="default" w:ascii="PingFang SC" w:hAnsi="PingFang SC" w:eastAsia="PingFang SC" w:cs="PingFang SC"/>
                <w:sz w:val="24"/>
                <w:szCs w:val="24"/>
                <w:lang w:val="en-US"/>
              </w:rPr>
            </w:pPr>
            <w:r>
              <w:rPr>
                <w:rFonts w:ascii="Times New Roman" w:hAnsi="PingFang SC" w:eastAsia="PingFang SC" w:cs="PingFang SC"/>
                <w:snapToGrid w:val="0"/>
                <w:color w:val="000000"/>
                <w:spacing w:val="-7"/>
                <w:kern w:val="0"/>
                <w:sz w:val="24"/>
                <w:szCs w:val="24"/>
                <w:lang w:val="en-US" w:eastAsia="en-US" w:bidi="ar-SA"/>
              </w:rPr>
              <w:t>nombre</w:t>
            </w:r>
          </w:p>
        </w:tc>
      </w:tr>
      <w:tr w14:paraId="1DF7D2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1534" w:type="dxa"/>
            <w:vAlign w:val="top"/>
          </w:tcPr>
          <w:p w14:paraId="4A16AD2C">
            <w:pPr>
              <w:spacing w:before="79" w:line="188" w:lineRule="auto"/>
              <w:ind w:left="732"/>
              <w:rPr>
                <w:rFonts w:hint="default" w:ascii="Times New Roman" w:hAnsi="Times New Roman" w:eastAsia="Times New Roman" w:cs="Times New Roman"/>
                <w:sz w:val="24"/>
                <w:szCs w:val="24"/>
                <w:lang w:val="en-US"/>
              </w:rPr>
            </w:pPr>
            <w:r>
              <w:rPr>
                <w:rFonts w:ascii="Times New Roman" w:hAnsi="Times New Roman" w:eastAsia="Times New Roman" w:cs="Times New Roman"/>
                <w:snapToGrid w:val="0"/>
                <w:color w:val="000000"/>
                <w:kern w:val="0"/>
                <w:sz w:val="24"/>
                <w:szCs w:val="24"/>
                <w:lang w:val="en-US" w:eastAsia="en-US" w:bidi="ar-SA"/>
              </w:rPr>
              <w:t>1</w:t>
            </w:r>
          </w:p>
        </w:tc>
        <w:tc>
          <w:tcPr>
            <w:tcW w:w="3365" w:type="dxa"/>
            <w:vAlign w:val="top"/>
          </w:tcPr>
          <w:p w14:paraId="58027F92">
            <w:pPr>
              <w:spacing w:before="37" w:line="191" w:lineRule="auto"/>
              <w:ind w:left="1325"/>
              <w:rPr>
                <w:rFonts w:hint="default" w:ascii="PingFang SC" w:hAnsi="PingFang SC" w:eastAsia="PingFang SC" w:cs="PingFang SC"/>
                <w:sz w:val="24"/>
                <w:szCs w:val="24"/>
                <w:lang w:val="en-US"/>
              </w:rPr>
            </w:pPr>
            <w:r>
              <w:rPr>
                <w:rFonts w:ascii="Times New Roman" w:hAnsi="PingFang SC" w:eastAsia="PingFang SC" w:cs="PingFang SC"/>
                <w:snapToGrid w:val="0"/>
                <w:color w:val="000000"/>
                <w:spacing w:val="-3"/>
                <w:kern w:val="0"/>
                <w:sz w:val="24"/>
                <w:szCs w:val="24"/>
                <w:lang w:val="en-US" w:eastAsia="en-US" w:bidi="ar-SA"/>
              </w:rPr>
              <w:t>entrada de aire</w:t>
            </w:r>
          </w:p>
        </w:tc>
        <w:tc>
          <w:tcPr>
            <w:tcW w:w="1465" w:type="dxa"/>
            <w:vAlign w:val="top"/>
          </w:tcPr>
          <w:p w14:paraId="52145A57">
            <w:pPr>
              <w:spacing w:before="79" w:line="188" w:lineRule="auto"/>
              <w:ind w:left="680"/>
              <w:rPr>
                <w:rFonts w:hint="default" w:ascii="Times New Roman" w:hAnsi="Times New Roman" w:eastAsia="Times New Roman" w:cs="Times New Roman"/>
                <w:sz w:val="24"/>
                <w:szCs w:val="24"/>
                <w:lang w:val="en-US"/>
              </w:rPr>
            </w:pPr>
            <w:r>
              <w:rPr>
                <w:rFonts w:ascii="Times New Roman" w:hAnsi="Times New Roman" w:eastAsia="Times New Roman" w:cs="Times New Roman"/>
                <w:snapToGrid w:val="0"/>
                <w:color w:val="000000"/>
                <w:kern w:val="0"/>
                <w:sz w:val="24"/>
                <w:szCs w:val="24"/>
                <w:lang w:val="en-US" w:eastAsia="en-US" w:bidi="ar-SA"/>
              </w:rPr>
              <w:t>6</w:t>
            </w:r>
          </w:p>
        </w:tc>
        <w:tc>
          <w:tcPr>
            <w:tcW w:w="3434" w:type="dxa"/>
            <w:vAlign w:val="top"/>
          </w:tcPr>
          <w:p w14:paraId="51095DDB">
            <w:pPr>
              <w:spacing w:before="38" w:line="190" w:lineRule="auto"/>
              <w:ind w:left="1375"/>
              <w:rPr>
                <w:rFonts w:hint="default" w:ascii="PingFang SC" w:hAnsi="PingFang SC" w:eastAsia="PingFang SC" w:cs="PingFang SC"/>
                <w:sz w:val="24"/>
                <w:szCs w:val="24"/>
                <w:lang w:val="en-US"/>
              </w:rPr>
            </w:pPr>
            <w:r>
              <w:rPr>
                <w:rFonts w:ascii="Times New Roman" w:hAnsi="PingFang SC" w:eastAsia="PingFang SC" w:cs="PingFang SC"/>
                <w:snapToGrid w:val="0"/>
                <w:color w:val="000000"/>
                <w:spacing w:val="-8"/>
                <w:kern w:val="0"/>
                <w:sz w:val="24"/>
                <w:szCs w:val="24"/>
                <w:lang w:val="en-US" w:eastAsia="en-US" w:bidi="ar-SA"/>
              </w:rPr>
              <w:t>Botón de llamada de emergencia</w:t>
            </w:r>
          </w:p>
        </w:tc>
      </w:tr>
      <w:tr w14:paraId="7EA7BA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1534" w:type="dxa"/>
            <w:vAlign w:val="top"/>
          </w:tcPr>
          <w:p w14:paraId="15B9634C">
            <w:pPr>
              <w:spacing w:before="79" w:line="188" w:lineRule="auto"/>
              <w:ind w:left="709"/>
              <w:rPr>
                <w:rFonts w:hint="default" w:ascii="Times New Roman" w:hAnsi="Times New Roman" w:eastAsia="Times New Roman" w:cs="Times New Roman"/>
                <w:sz w:val="24"/>
                <w:szCs w:val="24"/>
                <w:lang w:val="en-US"/>
              </w:rPr>
            </w:pPr>
            <w:r>
              <w:rPr>
                <w:rFonts w:ascii="Times New Roman" w:hAnsi="Times New Roman" w:eastAsia="Times New Roman" w:cs="Times New Roman"/>
                <w:snapToGrid w:val="0"/>
                <w:color w:val="000000"/>
                <w:kern w:val="0"/>
                <w:sz w:val="24"/>
                <w:szCs w:val="24"/>
                <w:lang w:val="en-US" w:eastAsia="en-US" w:bidi="ar-SA"/>
              </w:rPr>
              <w:t>2</w:t>
            </w:r>
          </w:p>
        </w:tc>
        <w:tc>
          <w:tcPr>
            <w:tcW w:w="3365" w:type="dxa"/>
            <w:vAlign w:val="top"/>
          </w:tcPr>
          <w:p w14:paraId="17C5C194">
            <w:pPr>
              <w:spacing w:before="37" w:line="191" w:lineRule="auto"/>
              <w:ind w:left="1327"/>
              <w:rPr>
                <w:rFonts w:hint="default" w:ascii="PingFang SC" w:hAnsi="PingFang SC" w:eastAsia="PingFang SC" w:cs="PingFang SC"/>
                <w:sz w:val="24"/>
                <w:szCs w:val="24"/>
                <w:lang w:val="en-US"/>
              </w:rPr>
            </w:pPr>
            <w:r>
              <w:rPr>
                <w:rFonts w:ascii="Times New Roman" w:hAnsi="PingFang SC" w:eastAsia="PingFang SC" w:cs="PingFang SC"/>
                <w:snapToGrid w:val="0"/>
                <w:color w:val="000000"/>
                <w:spacing w:val="-4"/>
                <w:kern w:val="0"/>
                <w:sz w:val="24"/>
                <w:szCs w:val="24"/>
                <w:lang w:val="en-US" w:eastAsia="en-US" w:bidi="ar-SA"/>
              </w:rPr>
              <w:t>orificio de ventilación</w:t>
            </w:r>
          </w:p>
        </w:tc>
        <w:tc>
          <w:tcPr>
            <w:tcW w:w="1465" w:type="dxa"/>
            <w:vAlign w:val="top"/>
          </w:tcPr>
          <w:p w14:paraId="2E165DF8">
            <w:pPr>
              <w:spacing w:before="82" w:line="185" w:lineRule="auto"/>
              <w:ind w:left="678"/>
              <w:rPr>
                <w:rFonts w:hint="default" w:ascii="Times New Roman" w:hAnsi="Times New Roman" w:eastAsia="Times New Roman" w:cs="Times New Roman"/>
                <w:sz w:val="24"/>
                <w:szCs w:val="24"/>
                <w:lang w:val="en-US"/>
              </w:rPr>
            </w:pPr>
            <w:r>
              <w:rPr>
                <w:rFonts w:ascii="Times New Roman" w:hAnsi="Times New Roman" w:eastAsia="Times New Roman" w:cs="Times New Roman"/>
                <w:snapToGrid w:val="0"/>
                <w:color w:val="000000"/>
                <w:kern w:val="0"/>
                <w:sz w:val="24"/>
                <w:szCs w:val="24"/>
                <w:lang w:val="en-US" w:eastAsia="en-US" w:bidi="ar-SA"/>
              </w:rPr>
              <w:t>7</w:t>
            </w:r>
          </w:p>
        </w:tc>
        <w:tc>
          <w:tcPr>
            <w:tcW w:w="3434" w:type="dxa"/>
            <w:vAlign w:val="top"/>
          </w:tcPr>
          <w:p w14:paraId="4D7F9B0B">
            <w:pPr>
              <w:spacing w:before="37" w:line="191" w:lineRule="auto"/>
              <w:ind w:left="1365"/>
              <w:rPr>
                <w:rFonts w:hint="default" w:ascii="PingFang SC" w:hAnsi="PingFang SC" w:eastAsia="PingFang SC" w:cs="PingFang SC"/>
                <w:sz w:val="24"/>
                <w:szCs w:val="24"/>
                <w:lang w:val="en-US"/>
              </w:rPr>
            </w:pPr>
            <w:r>
              <w:rPr>
                <w:rFonts w:ascii="Times New Roman" w:hAnsi="PingFang SC" w:eastAsia="PingFang SC" w:cs="PingFang SC"/>
                <w:snapToGrid w:val="0"/>
                <w:color w:val="000000"/>
                <w:spacing w:val="-5"/>
                <w:kern w:val="0"/>
                <w:sz w:val="24"/>
                <w:szCs w:val="24"/>
                <w:lang w:val="en-US" w:eastAsia="en-US" w:bidi="ar-SA"/>
              </w:rPr>
              <w:t>Tecla cancelar</w:t>
            </w:r>
          </w:p>
        </w:tc>
      </w:tr>
      <w:tr w14:paraId="0F098D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1534" w:type="dxa"/>
            <w:vAlign w:val="top"/>
          </w:tcPr>
          <w:p w14:paraId="7CBC02A9">
            <w:pPr>
              <w:spacing w:before="81" w:line="188" w:lineRule="auto"/>
              <w:ind w:left="714"/>
              <w:rPr>
                <w:rFonts w:hint="default" w:ascii="Times New Roman" w:hAnsi="Times New Roman" w:eastAsia="Times New Roman" w:cs="Times New Roman"/>
                <w:sz w:val="24"/>
                <w:szCs w:val="24"/>
                <w:lang w:val="en-US"/>
              </w:rPr>
            </w:pPr>
            <w:r>
              <w:rPr>
                <w:rFonts w:ascii="Times New Roman" w:hAnsi="Times New Roman" w:eastAsia="Times New Roman" w:cs="Times New Roman"/>
                <w:snapToGrid w:val="0"/>
                <w:color w:val="000000"/>
                <w:kern w:val="0"/>
                <w:sz w:val="24"/>
                <w:szCs w:val="24"/>
                <w:lang w:val="en-US" w:eastAsia="en-US" w:bidi="ar-SA"/>
              </w:rPr>
              <w:t>3</w:t>
            </w:r>
          </w:p>
        </w:tc>
        <w:tc>
          <w:tcPr>
            <w:tcW w:w="3365" w:type="dxa"/>
            <w:vAlign w:val="top"/>
          </w:tcPr>
          <w:p w14:paraId="0D0C69B1">
            <w:pPr>
              <w:spacing w:before="39" w:line="191" w:lineRule="auto"/>
              <w:ind w:left="1333"/>
              <w:rPr>
                <w:rFonts w:hint="default" w:ascii="PingFang SC" w:hAnsi="PingFang SC" w:eastAsia="PingFang SC" w:cs="PingFang SC"/>
                <w:sz w:val="24"/>
                <w:szCs w:val="24"/>
                <w:lang w:val="en-US"/>
              </w:rPr>
            </w:pPr>
            <w:r>
              <w:rPr>
                <w:rFonts w:ascii="Times New Roman" w:hAnsi="PingFang SC" w:eastAsia="PingFang SC" w:cs="PingFang SC"/>
                <w:snapToGrid w:val="0"/>
                <w:color w:val="000000"/>
                <w:spacing w:val="-6"/>
                <w:kern w:val="0"/>
                <w:sz w:val="24"/>
                <w:szCs w:val="24"/>
                <w:lang w:val="en-US" w:eastAsia="en-US" w:bidi="ar-SA"/>
              </w:rPr>
              <w:t>pantalla de visualización</w:t>
            </w:r>
          </w:p>
        </w:tc>
        <w:tc>
          <w:tcPr>
            <w:tcW w:w="1465" w:type="dxa"/>
            <w:vAlign w:val="top"/>
          </w:tcPr>
          <w:p w14:paraId="00F2EC16">
            <w:pPr>
              <w:spacing w:before="81" w:line="188" w:lineRule="auto"/>
              <w:ind w:left="684"/>
              <w:rPr>
                <w:rFonts w:hint="default" w:ascii="Times New Roman" w:hAnsi="Times New Roman" w:eastAsia="Times New Roman" w:cs="Times New Roman"/>
                <w:sz w:val="24"/>
                <w:szCs w:val="24"/>
                <w:lang w:val="en-US"/>
              </w:rPr>
            </w:pPr>
            <w:r>
              <w:rPr>
                <w:rFonts w:ascii="Times New Roman" w:hAnsi="Times New Roman" w:eastAsia="Times New Roman" w:cs="Times New Roman"/>
                <w:snapToGrid w:val="0"/>
                <w:color w:val="000000"/>
                <w:kern w:val="0"/>
                <w:sz w:val="24"/>
                <w:szCs w:val="24"/>
                <w:lang w:val="en-US" w:eastAsia="en-US" w:bidi="ar-SA"/>
              </w:rPr>
              <w:t>8</w:t>
            </w:r>
          </w:p>
        </w:tc>
        <w:tc>
          <w:tcPr>
            <w:tcW w:w="3434" w:type="dxa"/>
            <w:vAlign w:val="top"/>
          </w:tcPr>
          <w:p w14:paraId="1E2DA790">
            <w:pPr>
              <w:spacing w:before="40" w:line="191" w:lineRule="auto"/>
              <w:ind w:left="1322"/>
              <w:rPr>
                <w:rFonts w:hint="default" w:ascii="PingFang SC" w:hAnsi="PingFang SC" w:eastAsia="PingFang SC" w:cs="PingFang SC"/>
                <w:sz w:val="24"/>
                <w:szCs w:val="24"/>
                <w:lang w:val="en-US"/>
              </w:rPr>
            </w:pPr>
            <w:r>
              <w:rPr>
                <w:rFonts w:ascii="Times New Roman" w:hAnsi="PingFang SC" w:eastAsia="PingFang SC" w:cs="PingFang SC"/>
                <w:snapToGrid w:val="0"/>
                <w:color w:val="000000"/>
                <w:spacing w:val="-1"/>
                <w:kern w:val="0"/>
                <w:sz w:val="24"/>
                <w:szCs w:val="24"/>
                <w:lang w:val="en-US" w:eastAsia="en-US" w:bidi="ar-SA"/>
              </w:rPr>
              <w:t>/ interruptor de encendido</w:t>
            </w:r>
          </w:p>
        </w:tc>
      </w:tr>
      <w:tr w14:paraId="5A037D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1534" w:type="dxa"/>
            <w:vAlign w:val="top"/>
          </w:tcPr>
          <w:p w14:paraId="202D613F">
            <w:pPr>
              <w:spacing w:before="81" w:line="188" w:lineRule="auto"/>
              <w:ind w:left="708"/>
              <w:rPr>
                <w:rFonts w:hint="default" w:ascii="Times New Roman" w:hAnsi="Times New Roman" w:eastAsia="Times New Roman" w:cs="Times New Roman"/>
                <w:sz w:val="24"/>
                <w:szCs w:val="24"/>
                <w:lang w:val="en-US"/>
              </w:rPr>
            </w:pPr>
            <w:r>
              <w:rPr>
                <w:rFonts w:ascii="Times New Roman" w:hAnsi="Times New Roman" w:eastAsia="Times New Roman" w:cs="Times New Roman"/>
                <w:snapToGrid w:val="0"/>
                <w:color w:val="000000"/>
                <w:kern w:val="0"/>
                <w:sz w:val="24"/>
                <w:szCs w:val="24"/>
                <w:lang w:val="en-US" w:eastAsia="en-US" w:bidi="ar-SA"/>
              </w:rPr>
              <w:t>4</w:t>
            </w:r>
          </w:p>
        </w:tc>
        <w:tc>
          <w:tcPr>
            <w:tcW w:w="3365" w:type="dxa"/>
            <w:vAlign w:val="top"/>
          </w:tcPr>
          <w:p w14:paraId="15DA7C6F">
            <w:pPr>
              <w:spacing w:before="38" w:line="191" w:lineRule="auto"/>
              <w:ind w:left="1207"/>
              <w:rPr>
                <w:rFonts w:hint="default" w:ascii="PingFang SC" w:hAnsi="PingFang SC" w:eastAsia="PingFang SC" w:cs="PingFang SC"/>
                <w:sz w:val="24"/>
                <w:szCs w:val="24"/>
                <w:lang w:val="en-US"/>
              </w:rPr>
            </w:pPr>
            <w:r>
              <w:rPr>
                <w:rFonts w:ascii="Times New Roman" w:hAnsi="PingFang SC" w:eastAsia="PingFang SC" w:cs="PingFang SC"/>
                <w:snapToGrid w:val="0"/>
                <w:color w:val="000000"/>
                <w:spacing w:val="-3"/>
                <w:kern w:val="0"/>
                <w:sz w:val="24"/>
                <w:szCs w:val="24"/>
                <w:lang w:val="en-US" w:eastAsia="en-US" w:bidi="ar-SA"/>
              </w:rPr>
              <w:t>Botón táctil</w:t>
            </w:r>
          </w:p>
        </w:tc>
        <w:tc>
          <w:tcPr>
            <w:tcW w:w="1465" w:type="dxa"/>
            <w:vAlign w:val="top"/>
          </w:tcPr>
          <w:p w14:paraId="70E9D4E8">
            <w:pPr>
              <w:spacing w:before="81" w:line="188" w:lineRule="auto"/>
              <w:ind w:left="679"/>
              <w:rPr>
                <w:rFonts w:hint="default" w:ascii="Times New Roman" w:hAnsi="Times New Roman" w:eastAsia="Times New Roman" w:cs="Times New Roman"/>
                <w:sz w:val="24"/>
                <w:szCs w:val="24"/>
                <w:lang w:val="en-US"/>
              </w:rPr>
            </w:pPr>
            <w:r>
              <w:rPr>
                <w:rFonts w:ascii="Times New Roman" w:hAnsi="Times New Roman" w:eastAsia="Times New Roman" w:cs="Times New Roman"/>
                <w:snapToGrid w:val="0"/>
                <w:color w:val="000000"/>
                <w:kern w:val="0"/>
                <w:sz w:val="24"/>
                <w:szCs w:val="24"/>
                <w:lang w:val="en-US" w:eastAsia="en-US" w:bidi="ar-SA"/>
              </w:rPr>
              <w:t>9</w:t>
            </w:r>
          </w:p>
        </w:tc>
        <w:tc>
          <w:tcPr>
            <w:tcW w:w="3434" w:type="dxa"/>
            <w:vAlign w:val="top"/>
          </w:tcPr>
          <w:p w14:paraId="4E730D0A">
            <w:pPr>
              <w:spacing w:before="40" w:line="191" w:lineRule="auto"/>
              <w:ind w:left="1362"/>
              <w:rPr>
                <w:rFonts w:hint="default" w:ascii="PingFang SC" w:hAnsi="PingFang SC" w:eastAsia="PingFang SC" w:cs="PingFang SC"/>
                <w:sz w:val="24"/>
                <w:szCs w:val="24"/>
                <w:lang w:val="en-US"/>
              </w:rPr>
            </w:pPr>
            <w:r>
              <w:rPr>
                <w:rFonts w:ascii="Times New Roman" w:hAnsi="PingFang SC" w:eastAsia="PingFang SC" w:cs="PingFang SC"/>
                <w:snapToGrid w:val="0"/>
                <w:color w:val="000000"/>
                <w:spacing w:val="-4"/>
                <w:kern w:val="0"/>
                <w:sz w:val="24"/>
                <w:szCs w:val="24"/>
                <w:lang w:val="en-US" w:eastAsia="en-US" w:bidi="ar-SA"/>
              </w:rPr>
              <w:t>Tecla confirmar</w:t>
            </w:r>
          </w:p>
        </w:tc>
      </w:tr>
      <w:tr w14:paraId="2B1B87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1534" w:type="dxa"/>
            <w:vAlign w:val="top"/>
          </w:tcPr>
          <w:p w14:paraId="1A02F011">
            <w:pPr>
              <w:spacing w:before="87" w:line="185" w:lineRule="auto"/>
              <w:ind w:left="715"/>
              <w:rPr>
                <w:rFonts w:hint="default" w:ascii="Times New Roman" w:hAnsi="Times New Roman" w:eastAsia="Times New Roman" w:cs="Times New Roman"/>
                <w:sz w:val="24"/>
                <w:szCs w:val="24"/>
                <w:lang w:val="en-US"/>
              </w:rPr>
            </w:pPr>
            <w:r>
              <w:rPr>
                <w:rFonts w:ascii="Times New Roman" w:hAnsi="Times New Roman" w:eastAsia="Times New Roman" w:cs="Times New Roman"/>
                <w:snapToGrid w:val="0"/>
                <w:color w:val="000000"/>
                <w:kern w:val="0"/>
                <w:sz w:val="24"/>
                <w:szCs w:val="24"/>
                <w:lang w:val="en-US" w:eastAsia="en-US" w:bidi="ar-SA"/>
              </w:rPr>
              <w:t>5</w:t>
            </w:r>
          </w:p>
        </w:tc>
        <w:tc>
          <w:tcPr>
            <w:tcW w:w="3365" w:type="dxa"/>
            <w:vAlign w:val="top"/>
          </w:tcPr>
          <w:p w14:paraId="6ABDF396">
            <w:pPr>
              <w:spacing w:before="41" w:line="191" w:lineRule="auto"/>
              <w:ind w:left="1328"/>
              <w:rPr>
                <w:rFonts w:hint="default" w:ascii="PingFang SC" w:hAnsi="PingFang SC" w:eastAsia="PingFang SC" w:cs="PingFang SC"/>
                <w:sz w:val="24"/>
                <w:szCs w:val="24"/>
                <w:lang w:val="en-US"/>
              </w:rPr>
            </w:pPr>
            <w:r>
              <w:rPr>
                <w:rFonts w:ascii="Times New Roman" w:hAnsi="PingFang SC" w:eastAsia="PingFang SC" w:cs="PingFang SC"/>
                <w:snapToGrid w:val="0"/>
                <w:color w:val="000000"/>
                <w:spacing w:val="-4"/>
                <w:kern w:val="0"/>
                <w:sz w:val="24"/>
                <w:szCs w:val="24"/>
                <w:lang w:val="en-US" w:eastAsia="en-US" w:bidi="ar-SA"/>
              </w:rPr>
              <w:t>tecla de dirección</w:t>
            </w:r>
          </w:p>
        </w:tc>
        <w:tc>
          <w:tcPr>
            <w:tcW w:w="1465" w:type="dxa"/>
            <w:vAlign w:val="top"/>
          </w:tcPr>
          <w:p w14:paraId="5CADC5E3">
            <w:pPr>
              <w:spacing w:before="83" w:line="188" w:lineRule="auto"/>
              <w:ind w:left="638"/>
              <w:rPr>
                <w:rFonts w:hint="default" w:ascii="Times New Roman" w:hAnsi="Times New Roman" w:eastAsia="Times New Roman" w:cs="Times New Roman"/>
                <w:sz w:val="24"/>
                <w:szCs w:val="24"/>
                <w:lang w:val="en-US"/>
              </w:rPr>
            </w:pPr>
            <w:r>
              <w:rPr>
                <w:rFonts w:ascii="Times New Roman" w:hAnsi="Times New Roman" w:eastAsia="Times New Roman" w:cs="Times New Roman"/>
                <w:snapToGrid w:val="0"/>
                <w:color w:val="000000"/>
                <w:spacing w:val="-15"/>
                <w:kern w:val="0"/>
                <w:sz w:val="24"/>
                <w:szCs w:val="24"/>
                <w:lang w:val="en-US" w:eastAsia="en-US" w:bidi="ar-SA"/>
              </w:rPr>
              <w:t>10</w:t>
            </w:r>
          </w:p>
        </w:tc>
        <w:tc>
          <w:tcPr>
            <w:tcW w:w="3434" w:type="dxa"/>
            <w:vAlign w:val="top"/>
          </w:tcPr>
          <w:p w14:paraId="49177634">
            <w:pPr>
              <w:spacing w:before="42" w:line="191" w:lineRule="auto"/>
              <w:ind w:left="1365"/>
              <w:rPr>
                <w:rFonts w:hint="default" w:ascii="PingFang SC" w:hAnsi="PingFang SC" w:eastAsia="PingFang SC" w:cs="PingFang SC"/>
                <w:sz w:val="24"/>
                <w:szCs w:val="24"/>
                <w:lang w:val="en-US"/>
              </w:rPr>
            </w:pPr>
            <w:r>
              <w:rPr>
                <w:rFonts w:ascii="Times New Roman" w:hAnsi="PingFang SC" w:eastAsia="PingFang SC" w:cs="PingFang SC"/>
                <w:snapToGrid w:val="0"/>
                <w:color w:val="000000"/>
                <w:spacing w:val="-5"/>
                <w:kern w:val="0"/>
                <w:sz w:val="24"/>
                <w:szCs w:val="24"/>
                <w:lang w:val="en-US" w:eastAsia="en-US" w:bidi="ar-SA"/>
              </w:rPr>
              <w:t>Puerto de carga</w:t>
            </w:r>
          </w:p>
        </w:tc>
      </w:tr>
    </w:tbl>
    <w:p w14:paraId="338A3EAF">
      <w:pPr>
        <w:rPr>
          <w:rFonts w:ascii="Arial"/>
          <w:sz w:val="21"/>
        </w:rPr>
      </w:pPr>
    </w:p>
    <w:p w14:paraId="12652FD4">
      <w:pPr>
        <w:rPr>
          <w:rFonts w:ascii="Arial" w:hAnsi="Arial" w:eastAsia="Arial" w:cs="Arial"/>
          <w:sz w:val="21"/>
          <w:szCs w:val="21"/>
        </w:rPr>
        <w:sectPr>
          <w:footerReference r:id="rId7" w:type="default"/>
          <w:pgSz w:w="11850" w:h="16783"/>
          <w:pgMar w:top="1191" w:right="1025" w:bottom="875" w:left="1021" w:header="0" w:footer="685" w:gutter="0"/>
          <w:cols w:space="720" w:num="1"/>
        </w:sectPr>
      </w:pPr>
    </w:p>
    <w:p w14:paraId="479275BC">
      <w:pPr>
        <w:pStyle w:val="2"/>
        <w:spacing w:before="62" w:line="233" w:lineRule="auto"/>
        <w:ind w:left="130"/>
        <w:rPr>
          <w:rFonts w:hint="default"/>
          <w:lang w:val="en-US"/>
        </w:rPr>
      </w:pPr>
      <w:bookmarkStart w:id="9" w:name="bookmark33"/>
      <w:bookmarkEnd w:id="9"/>
      <w:r>
        <w:rPr>
          <w:rFonts w:ascii="Times New Roman" w:hAnsi="PingFang SC" w:eastAsia="PingFang SC" w:cs="PingFang SC"/>
          <w:b/>
          <w:bCs/>
          <w:snapToGrid w:val="0"/>
          <w:color w:val="000000"/>
          <w:kern w:val="0"/>
          <w:sz w:val="24"/>
          <w:szCs w:val="24"/>
          <w:lang w:val="en-US" w:eastAsia="en-US" w:bidi="ar-SA"/>
        </w:rPr>
        <w:t>3.2 Descripción de la interfaz de visualización del detector de gas OT139</w:t>
      </w:r>
    </w:p>
    <w:p w14:paraId="74856185">
      <w:pPr>
        <w:spacing w:before="198" w:line="5312" w:lineRule="exact"/>
        <w:ind w:firstLine="2653"/>
      </w:pPr>
      <w:r>
        <w:rPr>
          <w:position w:val="-106"/>
        </w:rPr>
        <w:drawing>
          <wp:inline distT="0" distB="0" distL="0" distR="0">
            <wp:extent cx="2857500" cy="3372485"/>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24"/>
                    <a:stretch>
                      <a:fillRect/>
                    </a:stretch>
                  </pic:blipFill>
                  <pic:spPr>
                    <a:xfrm>
                      <a:off x="0" y="0"/>
                      <a:ext cx="2857500" cy="3372612"/>
                    </a:xfrm>
                    <a:prstGeom prst="rect">
                      <a:avLst/>
                    </a:prstGeom>
                  </pic:spPr>
                </pic:pic>
              </a:graphicData>
            </a:graphic>
          </wp:inline>
        </w:drawing>
      </w:r>
    </w:p>
    <w:p w14:paraId="3696805D">
      <w:pPr>
        <w:spacing w:line="152" w:lineRule="exact"/>
      </w:pPr>
    </w:p>
    <w:tbl>
      <w:tblPr>
        <w:tblStyle w:val="5"/>
        <w:tblW w:w="98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40"/>
        <w:gridCol w:w="3372"/>
        <w:gridCol w:w="1471"/>
        <w:gridCol w:w="3439"/>
      </w:tblGrid>
      <w:tr w14:paraId="4E259C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1540" w:type="dxa"/>
            <w:vAlign w:val="top"/>
          </w:tcPr>
          <w:p w14:paraId="445FBC5E">
            <w:pPr>
              <w:pStyle w:val="6"/>
              <w:spacing w:before="40" w:line="191" w:lineRule="auto"/>
              <w:ind w:left="535"/>
              <w:rPr>
                <w:rFonts w:hint="default"/>
                <w:lang w:val="en-US"/>
              </w:rPr>
            </w:pPr>
            <w:r>
              <w:rPr>
                <w:rFonts w:ascii="Times New Roman" w:hAnsi="PingFang SC" w:eastAsia="PingFang SC" w:cs="PingFang SC"/>
                <w:snapToGrid w:val="0"/>
                <w:color w:val="000000"/>
                <w:spacing w:val="-5"/>
                <w:kern w:val="0"/>
                <w:sz w:val="24"/>
                <w:szCs w:val="24"/>
                <w:lang w:val="en-US" w:eastAsia="en-US" w:bidi="ar-SA"/>
              </w:rPr>
              <w:t>número de orden</w:t>
            </w:r>
          </w:p>
        </w:tc>
        <w:tc>
          <w:tcPr>
            <w:tcW w:w="3372" w:type="dxa"/>
            <w:vAlign w:val="top"/>
          </w:tcPr>
          <w:p w14:paraId="233ACCEC">
            <w:pPr>
              <w:pStyle w:val="6"/>
              <w:spacing w:before="41" w:line="191" w:lineRule="auto"/>
              <w:ind w:left="1454"/>
              <w:rPr>
                <w:rFonts w:hint="default"/>
                <w:lang w:val="en-US"/>
              </w:rPr>
            </w:pPr>
            <w:r>
              <w:rPr>
                <w:rFonts w:ascii="Times New Roman" w:hAnsi="PingFang SC" w:eastAsia="PingFang SC" w:cs="PingFang SC"/>
                <w:snapToGrid w:val="0"/>
                <w:color w:val="000000"/>
                <w:spacing w:val="-7"/>
                <w:kern w:val="0"/>
                <w:sz w:val="24"/>
                <w:szCs w:val="24"/>
                <w:lang w:val="en-US" w:eastAsia="en-US" w:bidi="ar-SA"/>
              </w:rPr>
              <w:t>nombre</w:t>
            </w:r>
          </w:p>
        </w:tc>
        <w:tc>
          <w:tcPr>
            <w:tcW w:w="1471" w:type="dxa"/>
            <w:vAlign w:val="top"/>
          </w:tcPr>
          <w:p w14:paraId="757DFFA0">
            <w:pPr>
              <w:pStyle w:val="6"/>
              <w:spacing w:before="40" w:line="191" w:lineRule="auto"/>
              <w:ind w:left="502"/>
              <w:rPr>
                <w:rFonts w:hint="default"/>
                <w:lang w:val="en-US"/>
              </w:rPr>
            </w:pPr>
            <w:r>
              <w:rPr>
                <w:rFonts w:ascii="Times New Roman" w:hAnsi="PingFang SC" w:eastAsia="PingFang SC" w:cs="PingFang SC"/>
                <w:snapToGrid w:val="0"/>
                <w:color w:val="000000"/>
                <w:spacing w:val="-5"/>
                <w:kern w:val="0"/>
                <w:sz w:val="24"/>
                <w:szCs w:val="24"/>
                <w:lang w:val="en-US" w:eastAsia="en-US" w:bidi="ar-SA"/>
              </w:rPr>
              <w:t>número de orden</w:t>
            </w:r>
          </w:p>
        </w:tc>
        <w:tc>
          <w:tcPr>
            <w:tcW w:w="3439" w:type="dxa"/>
            <w:vAlign w:val="top"/>
          </w:tcPr>
          <w:p w14:paraId="2B6CD9C8">
            <w:pPr>
              <w:pStyle w:val="6"/>
              <w:spacing w:before="41" w:line="191" w:lineRule="auto"/>
              <w:ind w:left="1487"/>
              <w:rPr>
                <w:rFonts w:hint="default"/>
                <w:lang w:val="en-US"/>
              </w:rPr>
            </w:pPr>
            <w:r>
              <w:rPr>
                <w:rFonts w:ascii="Times New Roman" w:hAnsi="PingFang SC" w:eastAsia="PingFang SC" w:cs="PingFang SC"/>
                <w:snapToGrid w:val="0"/>
                <w:color w:val="000000"/>
                <w:spacing w:val="-7"/>
                <w:kern w:val="0"/>
                <w:sz w:val="24"/>
                <w:szCs w:val="24"/>
                <w:lang w:val="en-US" w:eastAsia="en-US" w:bidi="ar-SA"/>
              </w:rPr>
              <w:t>nombre</w:t>
            </w:r>
          </w:p>
        </w:tc>
      </w:tr>
      <w:tr w14:paraId="29B841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540" w:type="dxa"/>
            <w:vAlign w:val="top"/>
          </w:tcPr>
          <w:p w14:paraId="558C6A76">
            <w:pPr>
              <w:spacing w:before="77" w:line="188" w:lineRule="auto"/>
              <w:ind w:left="734"/>
              <w:rPr>
                <w:rFonts w:hint="default" w:ascii="Times New Roman" w:hAnsi="Times New Roman" w:eastAsia="Times New Roman" w:cs="Times New Roman"/>
                <w:sz w:val="24"/>
                <w:szCs w:val="24"/>
                <w:lang w:val="en-US"/>
              </w:rPr>
            </w:pPr>
            <w:r>
              <w:rPr>
                <w:rFonts w:ascii="Times New Roman" w:hAnsi="Times New Roman" w:eastAsia="Times New Roman" w:cs="Times New Roman"/>
                <w:snapToGrid w:val="0"/>
                <w:color w:val="000000"/>
                <w:kern w:val="0"/>
                <w:sz w:val="24"/>
                <w:szCs w:val="24"/>
                <w:lang w:val="en-US" w:eastAsia="en-US" w:bidi="ar-SA"/>
              </w:rPr>
              <w:t>1</w:t>
            </w:r>
          </w:p>
        </w:tc>
        <w:tc>
          <w:tcPr>
            <w:tcW w:w="3372" w:type="dxa"/>
            <w:vAlign w:val="top"/>
          </w:tcPr>
          <w:p w14:paraId="4F513121">
            <w:pPr>
              <w:pStyle w:val="6"/>
              <w:spacing w:before="37" w:line="191" w:lineRule="auto"/>
              <w:ind w:left="1222"/>
              <w:rPr>
                <w:rFonts w:hint="default"/>
                <w:lang w:val="en-US"/>
              </w:rPr>
            </w:pPr>
            <w:r>
              <w:rPr>
                <w:rFonts w:ascii="Times New Roman" w:hAnsi="PingFang SC" w:eastAsia="PingFang SC" w:cs="PingFang SC"/>
                <w:snapToGrid w:val="0"/>
                <w:color w:val="000000"/>
                <w:spacing w:val="-6"/>
                <w:kern w:val="0"/>
                <w:sz w:val="24"/>
                <w:szCs w:val="24"/>
                <w:lang w:val="en-US" w:eastAsia="en-US" w:bidi="ar-SA"/>
              </w:rPr>
              <w:t>visualización de la hora</w:t>
            </w:r>
          </w:p>
        </w:tc>
        <w:tc>
          <w:tcPr>
            <w:tcW w:w="1471" w:type="dxa"/>
            <w:vAlign w:val="top"/>
          </w:tcPr>
          <w:p w14:paraId="32ECB54D">
            <w:pPr>
              <w:spacing w:before="77" w:line="188" w:lineRule="auto"/>
              <w:ind w:left="684"/>
              <w:rPr>
                <w:rFonts w:hint="default" w:ascii="Times New Roman" w:hAnsi="Times New Roman" w:eastAsia="Times New Roman" w:cs="Times New Roman"/>
                <w:sz w:val="24"/>
                <w:szCs w:val="24"/>
                <w:lang w:val="en-US"/>
              </w:rPr>
            </w:pPr>
            <w:r>
              <w:rPr>
                <w:rFonts w:ascii="Times New Roman" w:hAnsi="Times New Roman" w:eastAsia="Times New Roman" w:cs="Times New Roman"/>
                <w:snapToGrid w:val="0"/>
                <w:color w:val="000000"/>
                <w:kern w:val="0"/>
                <w:sz w:val="24"/>
                <w:szCs w:val="24"/>
                <w:lang w:val="en-US" w:eastAsia="en-US" w:bidi="ar-SA"/>
              </w:rPr>
              <w:t>6</w:t>
            </w:r>
          </w:p>
        </w:tc>
        <w:tc>
          <w:tcPr>
            <w:tcW w:w="3439" w:type="dxa"/>
            <w:vAlign w:val="top"/>
          </w:tcPr>
          <w:p w14:paraId="200D1EBA">
            <w:pPr>
              <w:pStyle w:val="6"/>
              <w:spacing w:before="37" w:line="191" w:lineRule="auto"/>
              <w:ind w:left="1245"/>
              <w:rPr>
                <w:rFonts w:hint="default"/>
                <w:lang w:val="en-US"/>
              </w:rPr>
            </w:pPr>
            <w:r>
              <w:rPr>
                <w:rFonts w:ascii="Times New Roman" w:hAnsi="PingFang SC" w:eastAsia="PingFang SC" w:cs="PingFang SC"/>
                <w:snapToGrid w:val="0"/>
                <w:color w:val="000000"/>
                <w:spacing w:val="-3"/>
                <w:kern w:val="0"/>
                <w:sz w:val="24"/>
                <w:szCs w:val="24"/>
                <w:lang w:val="en-US" w:eastAsia="en-US" w:bidi="ar-SA"/>
              </w:rPr>
              <w:t>Nombre del gas</w:t>
            </w:r>
          </w:p>
        </w:tc>
      </w:tr>
      <w:tr w14:paraId="7FD91D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540" w:type="dxa"/>
            <w:vAlign w:val="top"/>
          </w:tcPr>
          <w:p w14:paraId="5560C251">
            <w:pPr>
              <w:spacing w:before="79" w:line="188" w:lineRule="auto"/>
              <w:ind w:left="711"/>
              <w:rPr>
                <w:rFonts w:hint="default" w:ascii="Times New Roman" w:hAnsi="Times New Roman" w:eastAsia="Times New Roman" w:cs="Times New Roman"/>
                <w:sz w:val="24"/>
                <w:szCs w:val="24"/>
                <w:lang w:val="en-US"/>
              </w:rPr>
            </w:pPr>
            <w:r>
              <w:rPr>
                <w:rFonts w:ascii="Times New Roman" w:hAnsi="Times New Roman" w:eastAsia="Times New Roman" w:cs="Times New Roman"/>
                <w:snapToGrid w:val="0"/>
                <w:color w:val="000000"/>
                <w:kern w:val="0"/>
                <w:sz w:val="24"/>
                <w:szCs w:val="24"/>
                <w:lang w:val="en-US" w:eastAsia="en-US" w:bidi="ar-SA"/>
              </w:rPr>
              <w:t>2</w:t>
            </w:r>
          </w:p>
        </w:tc>
        <w:tc>
          <w:tcPr>
            <w:tcW w:w="3372" w:type="dxa"/>
            <w:vAlign w:val="top"/>
          </w:tcPr>
          <w:p w14:paraId="1EE696A4">
            <w:pPr>
              <w:pStyle w:val="6"/>
              <w:spacing w:before="38" w:line="191" w:lineRule="auto"/>
              <w:ind w:left="1332"/>
              <w:rPr>
                <w:rFonts w:hint="default"/>
                <w:lang w:val="en-US"/>
              </w:rPr>
            </w:pPr>
            <w:r>
              <w:rPr>
                <w:rFonts w:ascii="Times New Roman" w:hAnsi="PingFang SC" w:eastAsia="PingFang SC" w:cs="PingFang SC"/>
                <w:snapToGrid w:val="0"/>
                <w:color w:val="000000"/>
                <w:spacing w:val="-4"/>
                <w:kern w:val="0"/>
                <w:sz w:val="24"/>
                <w:szCs w:val="24"/>
                <w:lang w:val="en-US" w:eastAsia="en-US" w:bidi="ar-SA"/>
              </w:rPr>
              <w:t>Interruptor de la bomba</w:t>
            </w:r>
          </w:p>
        </w:tc>
        <w:tc>
          <w:tcPr>
            <w:tcW w:w="1471" w:type="dxa"/>
            <w:vAlign w:val="top"/>
          </w:tcPr>
          <w:p w14:paraId="167C180A">
            <w:pPr>
              <w:spacing w:before="83" w:line="185" w:lineRule="auto"/>
              <w:ind w:left="682"/>
              <w:rPr>
                <w:rFonts w:hint="default" w:ascii="Times New Roman" w:hAnsi="Times New Roman" w:eastAsia="Times New Roman" w:cs="Times New Roman"/>
                <w:sz w:val="24"/>
                <w:szCs w:val="24"/>
                <w:lang w:val="en-US"/>
              </w:rPr>
            </w:pPr>
            <w:r>
              <w:rPr>
                <w:rFonts w:ascii="Times New Roman" w:hAnsi="Times New Roman" w:eastAsia="Times New Roman" w:cs="Times New Roman"/>
                <w:snapToGrid w:val="0"/>
                <w:color w:val="000000"/>
                <w:kern w:val="0"/>
                <w:sz w:val="24"/>
                <w:szCs w:val="24"/>
                <w:lang w:val="en-US" w:eastAsia="en-US" w:bidi="ar-SA"/>
              </w:rPr>
              <w:t>7</w:t>
            </w:r>
          </w:p>
        </w:tc>
        <w:tc>
          <w:tcPr>
            <w:tcW w:w="3439" w:type="dxa"/>
            <w:vAlign w:val="top"/>
          </w:tcPr>
          <w:p w14:paraId="603B0596">
            <w:pPr>
              <w:pStyle w:val="6"/>
              <w:spacing w:before="37" w:line="191" w:lineRule="auto"/>
              <w:ind w:left="1245"/>
              <w:rPr>
                <w:rFonts w:hint="default"/>
                <w:lang w:val="en-US"/>
              </w:rPr>
            </w:pPr>
            <w:r>
              <w:rPr>
                <w:rFonts w:ascii="Times New Roman" w:hAnsi="PingFang SC" w:eastAsia="PingFang SC" w:cs="PingFang SC"/>
                <w:snapToGrid w:val="0"/>
                <w:color w:val="000000"/>
                <w:spacing w:val="-3"/>
                <w:kern w:val="0"/>
                <w:sz w:val="24"/>
                <w:szCs w:val="24"/>
                <w:lang w:val="en-US" w:eastAsia="en-US" w:bidi="ar-SA"/>
              </w:rPr>
              <w:t>Número de gas</w:t>
            </w:r>
          </w:p>
        </w:tc>
      </w:tr>
      <w:tr w14:paraId="178239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540" w:type="dxa"/>
            <w:vAlign w:val="top"/>
          </w:tcPr>
          <w:p w14:paraId="6F19D0B4">
            <w:pPr>
              <w:spacing w:before="79" w:line="188" w:lineRule="auto"/>
              <w:ind w:left="716"/>
              <w:rPr>
                <w:rFonts w:hint="default" w:ascii="Times New Roman" w:hAnsi="Times New Roman" w:eastAsia="Times New Roman" w:cs="Times New Roman"/>
                <w:sz w:val="24"/>
                <w:szCs w:val="24"/>
                <w:lang w:val="en-US"/>
              </w:rPr>
            </w:pPr>
            <w:r>
              <w:rPr>
                <w:rFonts w:ascii="Times New Roman" w:hAnsi="Times New Roman" w:eastAsia="Times New Roman" w:cs="Times New Roman"/>
                <w:snapToGrid w:val="0"/>
                <w:color w:val="000000"/>
                <w:kern w:val="0"/>
                <w:sz w:val="24"/>
                <w:szCs w:val="24"/>
                <w:lang w:val="en-US" w:eastAsia="en-US" w:bidi="ar-SA"/>
              </w:rPr>
              <w:t>3</w:t>
            </w:r>
          </w:p>
        </w:tc>
        <w:tc>
          <w:tcPr>
            <w:tcW w:w="3372" w:type="dxa"/>
            <w:vAlign w:val="top"/>
          </w:tcPr>
          <w:p w14:paraId="3BDD18D0">
            <w:pPr>
              <w:pStyle w:val="6"/>
              <w:spacing w:before="41" w:line="192" w:lineRule="auto"/>
              <w:ind w:left="1452"/>
              <w:rPr>
                <w:rFonts w:hint="default"/>
                <w:lang w:val="en-US"/>
              </w:rPr>
            </w:pPr>
            <w:r>
              <w:rPr>
                <w:rFonts w:ascii="Times New Roman" w:hAnsi="PingFang SC" w:eastAsia="PingFang SC" w:cs="PingFang SC"/>
                <w:snapToGrid w:val="0"/>
                <w:color w:val="000000"/>
                <w:spacing w:val="-6"/>
                <w:kern w:val="0"/>
                <w:sz w:val="24"/>
                <w:szCs w:val="24"/>
                <w:lang w:val="en-US" w:eastAsia="en-US" w:bidi="ar-SA"/>
              </w:rPr>
              <w:t>PDA</w:t>
            </w:r>
          </w:p>
        </w:tc>
        <w:tc>
          <w:tcPr>
            <w:tcW w:w="1471" w:type="dxa"/>
            <w:vAlign w:val="top"/>
          </w:tcPr>
          <w:p w14:paraId="1E96BEFA">
            <w:pPr>
              <w:spacing w:before="79" w:line="188" w:lineRule="auto"/>
              <w:ind w:left="688"/>
              <w:rPr>
                <w:rFonts w:hint="default" w:ascii="Times New Roman" w:hAnsi="Times New Roman" w:eastAsia="Times New Roman" w:cs="Times New Roman"/>
                <w:sz w:val="24"/>
                <w:szCs w:val="24"/>
                <w:lang w:val="en-US"/>
              </w:rPr>
            </w:pPr>
            <w:r>
              <w:rPr>
                <w:rFonts w:ascii="Times New Roman" w:hAnsi="Times New Roman" w:eastAsia="Times New Roman" w:cs="Times New Roman"/>
                <w:snapToGrid w:val="0"/>
                <w:color w:val="000000"/>
                <w:kern w:val="0"/>
                <w:sz w:val="24"/>
                <w:szCs w:val="24"/>
                <w:lang w:val="en-US" w:eastAsia="en-US" w:bidi="ar-SA"/>
              </w:rPr>
              <w:t>8</w:t>
            </w:r>
          </w:p>
        </w:tc>
        <w:tc>
          <w:tcPr>
            <w:tcW w:w="3439" w:type="dxa"/>
            <w:vAlign w:val="top"/>
          </w:tcPr>
          <w:p w14:paraId="1F49049F">
            <w:pPr>
              <w:pStyle w:val="6"/>
              <w:spacing w:before="40" w:line="191" w:lineRule="auto"/>
              <w:ind w:left="1486"/>
              <w:rPr>
                <w:rFonts w:hint="default"/>
                <w:lang w:val="en-US"/>
              </w:rPr>
            </w:pPr>
            <w:r>
              <w:rPr>
                <w:rFonts w:ascii="Times New Roman" w:hAnsi="PingFang SC" w:eastAsia="PingFang SC" w:cs="PingFang SC"/>
                <w:snapToGrid w:val="0"/>
                <w:color w:val="000000"/>
                <w:spacing w:val="-6"/>
                <w:kern w:val="0"/>
                <w:sz w:val="24"/>
                <w:szCs w:val="24"/>
                <w:lang w:val="en-US" w:eastAsia="en-US" w:bidi="ar-SA"/>
              </w:rPr>
              <w:t>botón derecho</w:t>
            </w:r>
          </w:p>
        </w:tc>
      </w:tr>
      <w:tr w14:paraId="60E134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540" w:type="dxa"/>
            <w:vAlign w:val="top"/>
          </w:tcPr>
          <w:p w14:paraId="7F2C770F">
            <w:pPr>
              <w:spacing w:before="82" w:line="188" w:lineRule="auto"/>
              <w:ind w:left="710"/>
              <w:rPr>
                <w:rFonts w:hint="default" w:ascii="Times New Roman" w:hAnsi="Times New Roman" w:eastAsia="Times New Roman" w:cs="Times New Roman"/>
                <w:sz w:val="24"/>
                <w:szCs w:val="24"/>
                <w:lang w:val="en-US"/>
              </w:rPr>
            </w:pPr>
            <w:r>
              <w:rPr>
                <w:rFonts w:ascii="Times New Roman" w:hAnsi="Times New Roman" w:eastAsia="Times New Roman" w:cs="Times New Roman"/>
                <w:snapToGrid w:val="0"/>
                <w:color w:val="000000"/>
                <w:kern w:val="0"/>
                <w:sz w:val="24"/>
                <w:szCs w:val="24"/>
                <w:lang w:val="en-US" w:eastAsia="en-US" w:bidi="ar-SA"/>
              </w:rPr>
              <w:t>4</w:t>
            </w:r>
          </w:p>
        </w:tc>
        <w:tc>
          <w:tcPr>
            <w:tcW w:w="3372" w:type="dxa"/>
            <w:vAlign w:val="top"/>
          </w:tcPr>
          <w:p w14:paraId="2FFF139A">
            <w:pPr>
              <w:spacing w:before="77" w:line="192" w:lineRule="auto"/>
              <w:ind w:left="1471"/>
              <w:rPr>
                <w:rFonts w:hint="default" w:ascii="Times New Roman" w:hAnsi="Times New Roman" w:eastAsia="Times New Roman" w:cs="Times New Roman"/>
                <w:sz w:val="24"/>
                <w:szCs w:val="24"/>
                <w:lang w:val="en-US"/>
              </w:rPr>
            </w:pPr>
            <w:r>
              <w:rPr>
                <w:rFonts w:ascii="Times New Roman" w:hAnsi="Times New Roman" w:eastAsia="Times New Roman" w:cs="Times New Roman"/>
                <w:snapToGrid w:val="0"/>
                <w:color w:val="000000"/>
                <w:spacing w:val="3"/>
                <w:kern w:val="0"/>
                <w:sz w:val="24"/>
                <w:szCs w:val="24"/>
                <w:lang w:val="en-US" w:eastAsia="en-US" w:bidi="ar-SA"/>
              </w:rPr>
              <w:t>Wifi</w:t>
            </w:r>
          </w:p>
        </w:tc>
        <w:tc>
          <w:tcPr>
            <w:tcW w:w="1471" w:type="dxa"/>
            <w:vAlign w:val="top"/>
          </w:tcPr>
          <w:p w14:paraId="4102E99E">
            <w:pPr>
              <w:spacing w:before="82" w:line="188" w:lineRule="auto"/>
              <w:ind w:left="683"/>
              <w:rPr>
                <w:rFonts w:hint="default" w:ascii="Times New Roman" w:hAnsi="Times New Roman" w:eastAsia="Times New Roman" w:cs="Times New Roman"/>
                <w:sz w:val="24"/>
                <w:szCs w:val="24"/>
                <w:lang w:val="en-US"/>
              </w:rPr>
            </w:pPr>
            <w:r>
              <w:rPr>
                <w:rFonts w:ascii="Times New Roman" w:hAnsi="Times New Roman" w:eastAsia="Times New Roman" w:cs="Times New Roman"/>
                <w:snapToGrid w:val="0"/>
                <w:color w:val="000000"/>
                <w:kern w:val="0"/>
                <w:sz w:val="24"/>
                <w:szCs w:val="24"/>
                <w:lang w:val="en-US" w:eastAsia="en-US" w:bidi="ar-SA"/>
              </w:rPr>
              <w:t>9</w:t>
            </w:r>
          </w:p>
        </w:tc>
        <w:tc>
          <w:tcPr>
            <w:tcW w:w="3439" w:type="dxa"/>
            <w:vAlign w:val="top"/>
          </w:tcPr>
          <w:p w14:paraId="108D3BC1">
            <w:pPr>
              <w:pStyle w:val="6"/>
              <w:spacing w:before="39" w:line="191" w:lineRule="auto"/>
              <w:ind w:left="1484"/>
              <w:rPr>
                <w:rFonts w:hint="default"/>
                <w:lang w:val="en-US"/>
              </w:rPr>
            </w:pPr>
            <w:r>
              <w:rPr>
                <w:rFonts w:ascii="Times New Roman" w:hAnsi="PingFang SC" w:eastAsia="PingFang SC" w:cs="PingFang SC"/>
                <w:snapToGrid w:val="0"/>
                <w:color w:val="000000"/>
                <w:spacing w:val="-5"/>
                <w:kern w:val="0"/>
                <w:sz w:val="24"/>
                <w:szCs w:val="24"/>
                <w:lang w:val="en-US" w:eastAsia="en-US" w:bidi="ar-SA"/>
              </w:rPr>
              <w:t>menú</w:t>
            </w:r>
          </w:p>
        </w:tc>
      </w:tr>
      <w:tr w14:paraId="127EDE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1540" w:type="dxa"/>
            <w:vAlign w:val="top"/>
          </w:tcPr>
          <w:p w14:paraId="41EB8C04">
            <w:pPr>
              <w:spacing w:before="85" w:line="185" w:lineRule="auto"/>
              <w:ind w:left="718"/>
              <w:rPr>
                <w:rFonts w:hint="default" w:ascii="Times New Roman" w:hAnsi="Times New Roman" w:eastAsia="Times New Roman" w:cs="Times New Roman"/>
                <w:sz w:val="24"/>
                <w:szCs w:val="24"/>
                <w:lang w:val="en-US"/>
              </w:rPr>
            </w:pPr>
            <w:r>
              <w:rPr>
                <w:rFonts w:ascii="Times New Roman" w:hAnsi="Times New Roman" w:eastAsia="Times New Roman" w:cs="Times New Roman"/>
                <w:snapToGrid w:val="0"/>
                <w:color w:val="000000"/>
                <w:kern w:val="0"/>
                <w:sz w:val="24"/>
                <w:szCs w:val="24"/>
                <w:lang w:val="en-US" w:eastAsia="en-US" w:bidi="ar-SA"/>
              </w:rPr>
              <w:t>5</w:t>
            </w:r>
          </w:p>
        </w:tc>
        <w:tc>
          <w:tcPr>
            <w:tcW w:w="3372" w:type="dxa"/>
            <w:vAlign w:val="top"/>
          </w:tcPr>
          <w:p w14:paraId="3E7729EB">
            <w:pPr>
              <w:pStyle w:val="6"/>
              <w:spacing w:before="42" w:line="191" w:lineRule="auto"/>
              <w:ind w:left="1211"/>
              <w:rPr>
                <w:rFonts w:hint="default"/>
                <w:lang w:val="en-US"/>
              </w:rPr>
            </w:pPr>
            <w:r>
              <w:rPr>
                <w:rFonts w:ascii="Times New Roman" w:hAnsi="PingFang SC" w:eastAsia="PingFang SC" w:cs="PingFang SC"/>
                <w:snapToGrid w:val="0"/>
                <w:color w:val="000000"/>
                <w:spacing w:val="-3"/>
                <w:kern w:val="0"/>
                <w:sz w:val="24"/>
                <w:szCs w:val="24"/>
                <w:lang w:val="en-US" w:eastAsia="en-US" w:bidi="ar-SA"/>
              </w:rPr>
              <w:t>Batería restante</w:t>
            </w:r>
          </w:p>
        </w:tc>
        <w:tc>
          <w:tcPr>
            <w:tcW w:w="1471" w:type="dxa"/>
            <w:vAlign w:val="top"/>
          </w:tcPr>
          <w:p w14:paraId="5D2C14D2">
            <w:pPr>
              <w:spacing w:before="82" w:line="188" w:lineRule="auto"/>
              <w:ind w:left="641"/>
              <w:rPr>
                <w:rFonts w:hint="default" w:ascii="Times New Roman" w:hAnsi="Times New Roman" w:eastAsia="Times New Roman" w:cs="Times New Roman"/>
                <w:sz w:val="24"/>
                <w:szCs w:val="24"/>
                <w:lang w:val="en-US"/>
              </w:rPr>
            </w:pPr>
            <w:r>
              <w:rPr>
                <w:rFonts w:ascii="Times New Roman" w:hAnsi="Times New Roman" w:eastAsia="Times New Roman" w:cs="Times New Roman"/>
                <w:snapToGrid w:val="0"/>
                <w:color w:val="000000"/>
                <w:spacing w:val="-15"/>
                <w:kern w:val="0"/>
                <w:sz w:val="24"/>
                <w:szCs w:val="24"/>
                <w:lang w:val="en-US" w:eastAsia="en-US" w:bidi="ar-SA"/>
              </w:rPr>
              <w:t>10</w:t>
            </w:r>
          </w:p>
        </w:tc>
        <w:tc>
          <w:tcPr>
            <w:tcW w:w="3439" w:type="dxa"/>
            <w:vAlign w:val="top"/>
          </w:tcPr>
          <w:p w14:paraId="0BCE57AD">
            <w:pPr>
              <w:pStyle w:val="6"/>
              <w:spacing w:before="42" w:line="192" w:lineRule="auto"/>
              <w:ind w:left="1486"/>
              <w:rPr>
                <w:rFonts w:hint="default"/>
                <w:lang w:val="en-US"/>
              </w:rPr>
            </w:pPr>
            <w:r>
              <w:rPr>
                <w:rFonts w:ascii="Times New Roman" w:hAnsi="PingFang SC" w:eastAsia="PingFang SC" w:cs="PingFang SC"/>
                <w:snapToGrid w:val="0"/>
                <w:color w:val="000000"/>
                <w:spacing w:val="-6"/>
                <w:kern w:val="0"/>
                <w:sz w:val="24"/>
                <w:szCs w:val="24"/>
                <w:lang w:val="en-US" w:eastAsia="en-US" w:bidi="ar-SA"/>
              </w:rPr>
              <w:t>Botón izquierdo</w:t>
            </w:r>
          </w:p>
        </w:tc>
      </w:tr>
    </w:tbl>
    <w:p w14:paraId="5968E98D">
      <w:pPr>
        <w:spacing w:line="317" w:lineRule="auto"/>
        <w:rPr>
          <w:rFonts w:ascii="Arial"/>
          <w:sz w:val="21"/>
        </w:rPr>
      </w:pPr>
      <w:r>
        <w:drawing>
          <wp:anchor distT="0" distB="0" distL="0" distR="0" simplePos="0" relativeHeight="251660288" behindDoc="0" locked="0" layoutInCell="1" allowOverlap="1">
            <wp:simplePos x="0" y="0"/>
            <wp:positionH relativeFrom="column">
              <wp:posOffset>4682490</wp:posOffset>
            </wp:positionH>
            <wp:positionV relativeFrom="paragraph">
              <wp:posOffset>192405</wp:posOffset>
            </wp:positionV>
            <wp:extent cx="1322705" cy="2572385"/>
            <wp:effectExtent l="0" t="0" r="0" b="0"/>
            <wp:wrapNone/>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25"/>
                    <a:stretch>
                      <a:fillRect/>
                    </a:stretch>
                  </pic:blipFill>
                  <pic:spPr>
                    <a:xfrm>
                      <a:off x="0" y="0"/>
                      <a:ext cx="1322831" cy="2572512"/>
                    </a:xfrm>
                    <a:prstGeom prst="rect">
                      <a:avLst/>
                    </a:prstGeom>
                  </pic:spPr>
                </pic:pic>
              </a:graphicData>
            </a:graphic>
          </wp:anchor>
        </w:drawing>
      </w:r>
    </w:p>
    <w:p w14:paraId="2B5376F2">
      <w:pPr>
        <w:spacing w:line="318" w:lineRule="auto"/>
        <w:rPr>
          <w:rFonts w:ascii="Arial"/>
          <w:sz w:val="21"/>
        </w:rPr>
      </w:pPr>
    </w:p>
    <w:p w14:paraId="0DAF98AC">
      <w:pPr>
        <w:pStyle w:val="2"/>
        <w:spacing w:before="127" w:line="190" w:lineRule="auto"/>
        <w:ind w:left="128"/>
        <w:outlineLvl w:val="0"/>
        <w:rPr>
          <w:rFonts w:hint="default"/>
          <w:sz w:val="28"/>
          <w:szCs w:val="28"/>
          <w:lang w:val="en-US"/>
        </w:rPr>
      </w:pPr>
      <w:bookmarkStart w:id="10" w:name="bookmark8"/>
      <w:bookmarkEnd w:id="10"/>
      <w:bookmarkStart w:id="11" w:name="bookmark9"/>
      <w:bookmarkEnd w:id="11"/>
      <w:r>
        <w:rPr>
          <w:rFonts w:ascii="Times New Roman" w:hAnsi="PingFang SC" w:eastAsia="PingFang SC" w:cs="PingFang SC"/>
          <w:b/>
          <w:bCs/>
          <w:snapToGrid w:val="0"/>
          <w:color w:val="000000"/>
          <w:spacing w:val="-6"/>
          <w:kern w:val="0"/>
          <w:sz w:val="28"/>
          <w:szCs w:val="28"/>
          <w:lang w:val="en-US" w:eastAsia="en-US" w:bidi="ar-SA"/>
        </w:rPr>
        <w:t>IV. Instrucciones de manejo</w:t>
      </w:r>
    </w:p>
    <w:p w14:paraId="7EB56D05">
      <w:pPr>
        <w:pStyle w:val="2"/>
        <w:spacing w:before="217" w:line="229" w:lineRule="auto"/>
        <w:ind w:left="113"/>
        <w:rPr>
          <w:rFonts w:hint="default"/>
          <w:lang w:val="en-US"/>
        </w:rPr>
      </w:pPr>
      <w:r>
        <w:rPr>
          <w:rFonts w:ascii="Times New Roman" w:hAnsi="PingFang SC" w:eastAsia="PingFang SC" w:cs="PingFang SC"/>
          <w:snapToGrid w:val="0"/>
          <w:color w:val="000000"/>
          <w:spacing w:val="2"/>
          <w:kern w:val="0"/>
          <w:sz w:val="24"/>
          <w:szCs w:val="24"/>
          <w:lang w:val="en-US" w:eastAsia="en-US" w:bidi="ar-SA"/>
        </w:rPr>
        <w:t>4.1 Descripción de la interfaz de visualización del detector multigás portátil OT139</w:t>
      </w:r>
    </w:p>
    <w:p w14:paraId="34240251">
      <w:pPr>
        <w:pStyle w:val="2"/>
        <w:spacing w:before="101" w:line="302" w:lineRule="auto"/>
        <w:ind w:left="114" w:right="2636" w:firstLine="480"/>
        <w:rPr>
          <w:rFonts w:hint="default"/>
          <w:lang w:val="en-US"/>
        </w:rPr>
      </w:pPr>
      <w:r>
        <w:rPr>
          <w:rFonts w:ascii="Times New Roman" w:hAnsi="PingFang SC" w:eastAsia="PingFang SC" w:cs="PingFang SC"/>
          <w:snapToGrid w:val="0"/>
          <w:color w:val="000000"/>
          <w:spacing w:val="-3"/>
          <w:kern w:val="0"/>
          <w:sz w:val="24"/>
          <w:szCs w:val="24"/>
          <w:lang w:val="en-US" w:eastAsia="en-US" w:bidi="ar-SA"/>
        </w:rPr>
        <w:t>Con el equipo apagado, mantenga pulsado el botón de encendido durante más de 3 segundos. Una vez que el equipo vibre como indicación, enciéndalo. A continuación, el sistema ejecutará automáticamente un procedimiento de autocomprobación y entrará en la interfaz principal, como se muestra en la siguiente figura:</w:t>
      </w:r>
    </w:p>
    <w:p w14:paraId="499D5D76">
      <w:pPr>
        <w:spacing w:line="253" w:lineRule="auto"/>
        <w:rPr>
          <w:rFonts w:ascii="Arial"/>
          <w:sz w:val="21"/>
        </w:rPr>
      </w:pPr>
    </w:p>
    <w:p w14:paraId="3A670288">
      <w:pPr>
        <w:spacing w:line="253" w:lineRule="auto"/>
        <w:rPr>
          <w:rFonts w:ascii="Arial"/>
          <w:sz w:val="21"/>
        </w:rPr>
      </w:pPr>
    </w:p>
    <w:p w14:paraId="2BE85E39">
      <w:pPr>
        <w:spacing w:line="253" w:lineRule="auto"/>
        <w:rPr>
          <w:rFonts w:ascii="Arial"/>
          <w:sz w:val="21"/>
        </w:rPr>
      </w:pPr>
    </w:p>
    <w:p w14:paraId="26D24575">
      <w:pPr>
        <w:spacing w:line="253" w:lineRule="auto"/>
        <w:rPr>
          <w:rFonts w:ascii="Arial"/>
          <w:sz w:val="21"/>
        </w:rPr>
      </w:pPr>
    </w:p>
    <w:p w14:paraId="06C80303">
      <w:pPr>
        <w:spacing w:line="253" w:lineRule="auto"/>
        <w:rPr>
          <w:rFonts w:ascii="Arial"/>
          <w:sz w:val="21"/>
        </w:rPr>
      </w:pPr>
    </w:p>
    <w:p w14:paraId="246D4F35">
      <w:pPr>
        <w:spacing w:line="254" w:lineRule="auto"/>
        <w:rPr>
          <w:rFonts w:ascii="Arial"/>
          <w:sz w:val="21"/>
        </w:rPr>
      </w:pPr>
    </w:p>
    <w:p w14:paraId="42685EA6">
      <w:pPr>
        <w:pStyle w:val="2"/>
        <w:spacing w:before="109" w:line="229" w:lineRule="auto"/>
        <w:ind w:left="113"/>
        <w:rPr>
          <w:rFonts w:hint="default"/>
          <w:lang w:val="en-US"/>
        </w:rPr>
      </w:pPr>
      <w:r>
        <w:rPr>
          <w:rFonts w:ascii="Times New Roman" w:hAnsi="PingFang SC" w:eastAsia="PingFang SC" w:cs="PingFang SC"/>
          <w:snapToGrid w:val="0"/>
          <w:color w:val="000000"/>
          <w:kern w:val="0"/>
          <w:sz w:val="24"/>
          <w:szCs w:val="24"/>
          <w:lang w:val="en-US" w:eastAsia="en-US" w:bidi="ar-SA"/>
        </w:rPr>
        <w:t>4.2 Instrucciones de apagado del detector multigás portátil OT139</w:t>
      </w:r>
    </w:p>
    <w:p w14:paraId="4E92D1F2">
      <w:pPr>
        <w:pStyle w:val="2"/>
        <w:spacing w:before="101" w:line="222" w:lineRule="auto"/>
        <w:jc w:val="right"/>
        <w:rPr>
          <w:rFonts w:hint="default"/>
          <w:lang w:val="en-US"/>
        </w:rPr>
      </w:pPr>
      <w:r>
        <w:rPr>
          <w:rFonts w:ascii="Times New Roman" w:hAnsi="PingFang SC" w:eastAsia="PingFang SC" w:cs="PingFang SC"/>
          <w:snapToGrid w:val="0"/>
          <w:color w:val="000000"/>
          <w:kern w:val="0"/>
          <w:sz w:val="24"/>
          <w:szCs w:val="24"/>
          <w:lang w:val="en-US" w:eastAsia="en-US" w:bidi="ar-SA"/>
        </w:rPr>
        <w:t>Cuando el equipo esté encendido, pulse el botón de menú en la pantalla para acceder a la interfaz de menú. Pulse el icono de apagado e introduzca la contraseña "1111".</w:t>
      </w:r>
    </w:p>
    <w:p w14:paraId="1585081C">
      <w:pPr>
        <w:spacing w:line="222" w:lineRule="auto"/>
        <w:sectPr>
          <w:footerReference r:id="rId8" w:type="default"/>
          <w:pgSz w:w="11850" w:h="16783"/>
          <w:pgMar w:top="1224" w:right="1001" w:bottom="875" w:left="1021" w:header="0" w:footer="685" w:gutter="0"/>
          <w:cols w:space="720" w:num="1"/>
        </w:sectPr>
      </w:pPr>
    </w:p>
    <w:p w14:paraId="59D7EC09">
      <w:pPr>
        <w:pStyle w:val="2"/>
        <w:spacing w:before="61" w:line="222" w:lineRule="auto"/>
        <w:ind w:left="1"/>
        <w:rPr>
          <w:rFonts w:hint="default"/>
          <w:lang w:val="en-US"/>
        </w:rPr>
      </w:pPr>
      <w:bookmarkStart w:id="12" w:name="bookmark34"/>
      <w:bookmarkEnd w:id="12"/>
      <w:r>
        <w:rPr>
          <w:rFonts w:ascii="Times New Roman" w:hAnsi="PingFang SC" w:eastAsia="PingFang SC" w:cs="PingFang SC"/>
          <w:snapToGrid w:val="0"/>
          <w:color w:val="000000"/>
          <w:spacing w:val="3"/>
          <w:kern w:val="0"/>
          <w:sz w:val="24"/>
          <w:szCs w:val="24"/>
          <w:lang w:val="en-US" w:eastAsia="en-US" w:bidi="ar-SA"/>
        </w:rPr>
        <w:t>Pulse OK para apagar el equipo. Como se muestra a continuación:</w:t>
      </w:r>
    </w:p>
    <w:p w14:paraId="73D6206F">
      <w:pPr>
        <w:spacing w:before="79" w:line="3226" w:lineRule="exact"/>
        <w:ind w:firstLine="3821"/>
      </w:pPr>
      <w:r>
        <w:rPr>
          <w:position w:val="-64"/>
        </w:rPr>
        <w:drawing>
          <wp:inline distT="0" distB="0" distL="0" distR="0">
            <wp:extent cx="1228090" cy="2047875"/>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26"/>
                    <a:stretch>
                      <a:fillRect/>
                    </a:stretch>
                  </pic:blipFill>
                  <pic:spPr>
                    <a:xfrm>
                      <a:off x="0" y="0"/>
                      <a:ext cx="1228343" cy="2048256"/>
                    </a:xfrm>
                    <a:prstGeom prst="rect">
                      <a:avLst/>
                    </a:prstGeom>
                  </pic:spPr>
                </pic:pic>
              </a:graphicData>
            </a:graphic>
          </wp:inline>
        </w:drawing>
      </w:r>
    </w:p>
    <w:p w14:paraId="5A0EEE5F">
      <w:pPr>
        <w:pStyle w:val="2"/>
        <w:spacing w:before="282" w:line="229" w:lineRule="auto"/>
        <w:rPr>
          <w:rFonts w:hint="default"/>
          <w:lang w:val="en-US"/>
        </w:rPr>
      </w:pPr>
      <w:r>
        <w:rPr>
          <w:rFonts w:ascii="Times New Roman" w:hAnsi="PingFang SC" w:eastAsia="PingFang SC" w:cs="PingFang SC"/>
          <w:snapToGrid w:val="0"/>
          <w:color w:val="000000"/>
          <w:kern w:val="0"/>
          <w:sz w:val="24"/>
          <w:szCs w:val="24"/>
          <w:lang w:val="en-US" w:eastAsia="en-US" w:bidi="ar-SA"/>
        </w:rPr>
        <w:t>4.3 Manual de operación rápida del detector multigás portátil OT139</w:t>
      </w:r>
    </w:p>
    <w:p w14:paraId="46D7C625">
      <w:pPr>
        <w:pStyle w:val="2"/>
        <w:spacing w:before="144" w:line="268" w:lineRule="auto"/>
        <w:rPr>
          <w:rFonts w:hint="default"/>
          <w:lang w:val="en-US"/>
        </w:rPr>
      </w:pPr>
      <w:r>
        <w:rPr>
          <w:rFonts w:ascii="Times New Roman" w:hAnsi="PingFang SC" w:eastAsia="PingFang SC" w:cs="PingFang SC"/>
          <w:snapToGrid w:val="0"/>
          <w:color w:val="000000"/>
          <w:spacing w:val="-1"/>
          <w:kern w:val="0"/>
          <w:sz w:val="24"/>
          <w:szCs w:val="24"/>
          <w:lang w:val="en-US" w:eastAsia="en-US" w:bidi="ar-SA"/>
        </w:rPr>
        <w:t>En la interfaz principal, pulse el botón "&lt;" para acceder a la interfaz de operación rápida. Pulse el botón de la bomba de aire para activar la bomba de aire y comenzar la detección. Como se muestra en la figura siguiente:</w:t>
      </w:r>
    </w:p>
    <w:p w14:paraId="1FADB14E">
      <w:pPr>
        <w:spacing w:line="3235" w:lineRule="exact"/>
        <w:ind w:firstLine="3818"/>
      </w:pPr>
      <w:r>
        <w:rPr>
          <w:position w:val="-64"/>
        </w:rPr>
        <w:drawing>
          <wp:inline distT="0" distB="0" distL="0" distR="0">
            <wp:extent cx="1232535" cy="2054225"/>
            <wp:effectExtent l="0" t="0" r="0" b="0"/>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27"/>
                    <a:stretch>
                      <a:fillRect/>
                    </a:stretch>
                  </pic:blipFill>
                  <pic:spPr>
                    <a:xfrm>
                      <a:off x="0" y="0"/>
                      <a:ext cx="1232916" cy="2054351"/>
                    </a:xfrm>
                    <a:prstGeom prst="rect">
                      <a:avLst/>
                    </a:prstGeom>
                  </pic:spPr>
                </pic:pic>
              </a:graphicData>
            </a:graphic>
          </wp:inline>
        </w:drawing>
      </w:r>
    </w:p>
    <w:p w14:paraId="18459E14">
      <w:pPr>
        <w:pStyle w:val="2"/>
        <w:spacing w:before="280" w:line="228" w:lineRule="auto"/>
        <w:outlineLvl w:val="1"/>
        <w:rPr>
          <w:rFonts w:hint="default"/>
          <w:lang w:val="en-US"/>
        </w:rPr>
      </w:pPr>
      <w:r>
        <w:rPr>
          <w:rFonts w:ascii="Times New Roman" w:hAnsi="PingFang SC" w:eastAsia="PingFang SC" w:cs="PingFang SC"/>
          <w:snapToGrid w:val="0"/>
          <w:color w:val="000000"/>
          <w:kern w:val="0"/>
          <w:sz w:val="24"/>
          <w:szCs w:val="24"/>
          <w:lang w:val="en-US" w:eastAsia="en-US" w:bidi="ar-SA"/>
        </w:rPr>
        <w:t>4.4 Funciones de parámetros del detector multigás portátil OT139</w:t>
      </w:r>
    </w:p>
    <w:p w14:paraId="6A09B411">
      <w:pPr>
        <w:pStyle w:val="2"/>
        <w:spacing w:before="147" w:line="190" w:lineRule="auto"/>
        <w:ind w:left="4"/>
        <w:rPr>
          <w:rFonts w:hint="default"/>
          <w:lang w:val="en-US"/>
        </w:rPr>
      </w:pPr>
      <w:r>
        <w:rPr>
          <w:rFonts w:ascii="Times New Roman" w:hAnsi="PingFang SC" w:eastAsia="PingFang SC" w:cs="PingFang SC"/>
          <w:b/>
          <w:bCs/>
          <w:snapToGrid w:val="0"/>
          <w:color w:val="000000"/>
          <w:spacing w:val="-4"/>
          <w:kern w:val="0"/>
          <w:sz w:val="24"/>
          <w:szCs w:val="24"/>
          <w:lang w:val="en-US" w:eastAsia="en-US" w:bidi="ar-SA"/>
        </w:rPr>
        <w:t>Consulte la tabla siguiente para ver las descripciones de las funciones del menú de usuario:</w:t>
      </w:r>
    </w:p>
    <w:p w14:paraId="02E83F33">
      <w:pPr>
        <w:pStyle w:val="2"/>
        <w:spacing w:before="190" w:line="189" w:lineRule="auto"/>
        <w:rPr>
          <w:rFonts w:hint="default"/>
          <w:lang w:val="en-US"/>
        </w:rPr>
      </w:pPr>
      <w:r>
        <w:rPr>
          <w:rFonts w:ascii="Times New Roman"/>
        </w:rPr>
        <w:drawing>
          <wp:anchor distT="0" distB="0" distL="0" distR="0" simplePos="0" relativeHeight="251663360" behindDoc="0" locked="0" layoutInCell="1" allowOverlap="1">
            <wp:simplePos x="0" y="0"/>
            <wp:positionH relativeFrom="column">
              <wp:posOffset>3832860</wp:posOffset>
            </wp:positionH>
            <wp:positionV relativeFrom="paragraph">
              <wp:posOffset>177800</wp:posOffset>
            </wp:positionV>
            <wp:extent cx="1372870" cy="2289175"/>
            <wp:effectExtent l="0" t="0" r="24130" b="22225"/>
            <wp:wrapNone/>
            <wp:docPr id="73" name="IM 86"/>
            <wp:cNvGraphicFramePr/>
            <a:graphic xmlns:a="http://schemas.openxmlformats.org/drawingml/2006/main">
              <a:graphicData uri="http://schemas.openxmlformats.org/drawingml/2006/picture">
                <pic:pic xmlns:pic="http://schemas.openxmlformats.org/drawingml/2006/picture">
                  <pic:nvPicPr>
                    <pic:cNvPr id="73" name="IM 86"/>
                    <pic:cNvPicPr/>
                  </pic:nvPicPr>
                  <pic:blipFill>
                    <a:blip r:embed="rId28"/>
                    <a:stretch>
                      <a:fillRect/>
                    </a:stretch>
                  </pic:blipFill>
                  <pic:spPr>
                    <a:xfrm>
                      <a:off x="0" y="0"/>
                      <a:ext cx="1373124" cy="2289048"/>
                    </a:xfrm>
                    <a:prstGeom prst="rect">
                      <a:avLst/>
                    </a:prstGeom>
                  </pic:spPr>
                </pic:pic>
              </a:graphicData>
            </a:graphic>
          </wp:anchor>
        </w:drawing>
      </w:r>
      <w:r>
        <w:rPr>
          <w:rFonts w:ascii="Times New Roman" w:hAnsi="PingFang SC" w:eastAsia="PingFang SC" w:cs="PingFang SC"/>
          <w:snapToGrid w:val="0"/>
          <w:color w:val="000000"/>
          <w:spacing w:val="-2"/>
          <w:kern w:val="0"/>
          <w:sz w:val="24"/>
          <w:szCs w:val="24"/>
          <w:lang w:val="en-US" w:eastAsia="en-US" w:bidi="ar-SA"/>
        </w:rPr>
        <w:t>Configuración de canales: Se pueden configurar parámetros como los puntos de consigna de alarma y los rangos de cada canal.</w:t>
      </w:r>
    </w:p>
    <w:p w14:paraId="430D807E">
      <w:pPr>
        <w:pStyle w:val="2"/>
        <w:spacing w:before="191" w:line="189" w:lineRule="auto"/>
        <w:rPr>
          <w:rFonts w:hint="default"/>
          <w:lang w:val="en-US"/>
        </w:rPr>
      </w:pPr>
      <w:r>
        <w:rPr>
          <w:rFonts w:ascii="Times New Roman" w:hAnsi="PingFang SC" w:eastAsia="PingFang SC" w:cs="PingFang SC"/>
          <w:snapToGrid w:val="0"/>
          <w:color w:val="000000"/>
          <w:spacing w:val="-1"/>
          <w:kern w:val="0"/>
          <w:sz w:val="24"/>
          <w:szCs w:val="24"/>
          <w:lang w:val="en-US" w:eastAsia="en-US" w:bidi="ar-SA"/>
        </w:rPr>
        <w:t>Configuración del sistema: Se pueden configurar los parámetros de funcionamiento del sistema</w:t>
      </w:r>
    </w:p>
    <w:p w14:paraId="32FD15B3">
      <w:pPr>
        <w:pStyle w:val="2"/>
        <w:spacing w:before="191" w:line="189" w:lineRule="auto"/>
        <w:ind w:left="11"/>
        <w:rPr>
          <w:rFonts w:hint="default"/>
          <w:lang w:val="en-US"/>
        </w:rPr>
      </w:pPr>
      <w:r>
        <w:rPr>
          <w:rFonts w:ascii="Times New Roman" w:hAnsi="PingFang SC" w:eastAsia="PingFang SC" w:cs="PingFang SC"/>
          <w:snapToGrid w:val="0"/>
          <w:color w:val="000000"/>
          <w:spacing w:val="-1"/>
          <w:kern w:val="0"/>
          <w:sz w:val="24"/>
          <w:szCs w:val="24"/>
          <w:lang w:val="en-US" w:eastAsia="en-US" w:bidi="ar-SA"/>
        </w:rPr>
        <w:t>Configuración de hora: Se puede ajustar la hora del instrumento</w:t>
      </w:r>
    </w:p>
    <w:p w14:paraId="51A13DBB">
      <w:pPr>
        <w:pStyle w:val="2"/>
        <w:spacing w:before="192" w:line="188" w:lineRule="auto"/>
        <w:ind w:left="1"/>
        <w:rPr>
          <w:rFonts w:hint="default"/>
          <w:lang w:val="en-US"/>
        </w:rPr>
      </w:pPr>
      <w:r>
        <w:rPr>
          <w:rFonts w:ascii="Times New Roman" w:hAnsi="PingFang SC" w:eastAsia="PingFang SC" w:cs="PingFang SC"/>
          <w:snapToGrid w:val="0"/>
          <w:color w:val="000000"/>
          <w:spacing w:val="-1"/>
          <w:kern w:val="0"/>
          <w:sz w:val="24"/>
          <w:szCs w:val="24"/>
          <w:lang w:val="en-US" w:eastAsia="en-US" w:bidi="ar-SA"/>
        </w:rPr>
        <w:t>Registros de alarma: Se pueden consultar los registros de alarma en el instrumento.</w:t>
      </w:r>
    </w:p>
    <w:p w14:paraId="29E0C158">
      <w:pPr>
        <w:pStyle w:val="2"/>
        <w:spacing w:before="192" w:line="189" w:lineRule="auto"/>
        <w:rPr>
          <w:rFonts w:hint="default"/>
          <w:lang w:val="en-US"/>
        </w:rPr>
      </w:pPr>
      <w:r>
        <w:rPr>
          <w:rFonts w:ascii="Times New Roman" w:hAnsi="PingFang SC" w:eastAsia="PingFang SC" w:cs="PingFang SC"/>
          <w:snapToGrid w:val="0"/>
          <w:color w:val="000000"/>
          <w:spacing w:val="-1"/>
          <w:kern w:val="0"/>
          <w:sz w:val="24"/>
          <w:szCs w:val="24"/>
          <w:lang w:val="en-US" w:eastAsia="en-US" w:bidi="ar-SA"/>
        </w:rPr>
        <w:t>Punto cero: Se puede ajustar el valor de punto cero de cada canal</w:t>
      </w:r>
    </w:p>
    <w:p w14:paraId="1250AB31">
      <w:pPr>
        <w:pStyle w:val="2"/>
        <w:spacing w:before="192" w:line="189" w:lineRule="auto"/>
        <w:rPr>
          <w:rFonts w:hint="default"/>
          <w:lang w:val="en-US"/>
        </w:rPr>
      </w:pPr>
      <w:r>
        <w:rPr>
          <w:rFonts w:ascii="Times New Roman" w:hAnsi="PingFang SC" w:eastAsia="PingFang SC" w:cs="PingFang SC"/>
          <w:snapToGrid w:val="0"/>
          <w:color w:val="000000"/>
          <w:spacing w:val="-1"/>
          <w:kern w:val="0"/>
          <w:sz w:val="24"/>
          <w:szCs w:val="24"/>
          <w:lang w:val="en-US" w:eastAsia="en-US" w:bidi="ar-SA"/>
        </w:rPr>
        <w:t>Calibración: El instrumento se puede calibrar.</w:t>
      </w:r>
    </w:p>
    <w:p w14:paraId="285D1AC7">
      <w:pPr>
        <w:pStyle w:val="2"/>
        <w:spacing w:before="191" w:line="189" w:lineRule="auto"/>
        <w:ind w:left="1"/>
        <w:rPr>
          <w:rFonts w:hint="default"/>
          <w:lang w:val="en-US"/>
        </w:rPr>
      </w:pPr>
      <w:r>
        <w:rPr>
          <w:rFonts w:ascii="Times New Roman" w:hAnsi="PingFang SC" w:eastAsia="PingFang SC" w:cs="PingFang SC"/>
          <w:snapToGrid w:val="0"/>
          <w:color w:val="000000"/>
          <w:spacing w:val="-1"/>
          <w:kern w:val="0"/>
          <w:sz w:val="24"/>
          <w:szCs w:val="24"/>
          <w:lang w:val="en-US" w:eastAsia="en-US" w:bidi="ar-SA"/>
        </w:rPr>
        <w:t>Restaurar configuración de fábrica: Se puede restablecer el instrumento a los valores predeterminados de fábrica.</w:t>
      </w:r>
    </w:p>
    <w:p w14:paraId="00F84E06">
      <w:pPr>
        <w:pStyle w:val="2"/>
        <w:spacing w:before="191" w:line="189" w:lineRule="auto"/>
        <w:ind w:left="3"/>
        <w:rPr>
          <w:rFonts w:hint="default"/>
          <w:lang w:val="en-US"/>
        </w:rPr>
      </w:pPr>
      <w:r>
        <w:rPr>
          <w:rFonts w:ascii="Times New Roman" w:hAnsi="PingFang SC" w:eastAsia="PingFang SC" w:cs="PingFang SC"/>
          <w:snapToGrid w:val="0"/>
          <w:color w:val="000000"/>
          <w:spacing w:val="-1"/>
          <w:kern w:val="0"/>
          <w:sz w:val="24"/>
          <w:szCs w:val="24"/>
          <w:lang w:val="en-US" w:eastAsia="en-US" w:bidi="ar-SA"/>
        </w:rPr>
        <w:t>Apagado: El instrumento se puede apagar</w:t>
      </w:r>
    </w:p>
    <w:p w14:paraId="0CD9E523">
      <w:pPr>
        <w:spacing w:line="189" w:lineRule="auto"/>
        <w:sectPr>
          <w:footerReference r:id="rId9" w:type="default"/>
          <w:pgSz w:w="11850" w:h="16783"/>
          <w:pgMar w:top="1123" w:right="1184" w:bottom="875" w:left="1134" w:header="0" w:footer="685" w:gutter="0"/>
          <w:cols w:space="720" w:num="1"/>
        </w:sectPr>
      </w:pPr>
    </w:p>
    <w:p w14:paraId="7886DE28">
      <w:pPr>
        <w:pStyle w:val="2"/>
        <w:spacing w:before="46" w:line="189" w:lineRule="auto"/>
        <w:ind w:left="1"/>
        <w:rPr>
          <w:rFonts w:hint="default"/>
          <w:lang w:val="en-US"/>
        </w:rPr>
      </w:pPr>
      <w:r>
        <w:rPr>
          <w:rFonts w:ascii="Times New Roman" w:hAnsi="PingFang SC" w:eastAsia="PingFang SC" w:cs="PingFang SC"/>
          <w:snapToGrid w:val="0"/>
          <w:color w:val="000000"/>
          <w:spacing w:val="-2"/>
          <w:kern w:val="0"/>
          <w:sz w:val="24"/>
          <w:szCs w:val="24"/>
          <w:lang w:val="en-US" w:eastAsia="en-US" w:bidi="ar-SA"/>
        </w:rPr>
        <w:t>Pantalla de inicio: Se puede volver a la pantalla de inicio</w:t>
      </w:r>
    </w:p>
    <w:p w14:paraId="34888D1D">
      <w:pPr>
        <w:pStyle w:val="2"/>
        <w:spacing w:before="190" w:line="189" w:lineRule="auto"/>
        <w:ind w:left="1"/>
        <w:rPr>
          <w:rFonts w:hint="default"/>
          <w:lang w:val="en-US"/>
        </w:rPr>
      </w:pPr>
      <w:r>
        <w:rPr>
          <w:rFonts w:ascii="Times New Roman" w:hAnsi="PingFang SC" w:eastAsia="PingFang SC" w:cs="PingFang SC"/>
          <w:snapToGrid w:val="0"/>
          <w:color w:val="000000"/>
          <w:spacing w:val="-1"/>
          <w:kern w:val="0"/>
          <w:sz w:val="24"/>
          <w:szCs w:val="24"/>
          <w:lang w:val="en-US" w:eastAsia="en-US" w:bidi="ar-SA"/>
        </w:rPr>
        <w:t>Configuración de carga: Se puede cargar la configuración de la plataforma en la nube</w:t>
      </w:r>
    </w:p>
    <w:p w14:paraId="177B770D">
      <w:pPr>
        <w:spacing w:line="437" w:lineRule="auto"/>
        <w:rPr>
          <w:rFonts w:ascii="Arial"/>
          <w:sz w:val="21"/>
        </w:rPr>
      </w:pPr>
    </w:p>
    <w:p w14:paraId="4630FE6A">
      <w:pPr>
        <w:pStyle w:val="2"/>
        <w:spacing w:before="109" w:line="286" w:lineRule="auto"/>
        <w:ind w:firstLine="479"/>
        <w:jc w:val="both"/>
        <w:rPr>
          <w:rFonts w:hint="default"/>
          <w:lang w:val="en-US"/>
        </w:rPr>
      </w:pPr>
      <w:bookmarkStart w:id="13" w:name="bookmark35"/>
      <w:bookmarkEnd w:id="13"/>
      <w:r>
        <w:rPr>
          <w:rFonts w:ascii="Times New Roman" w:hAnsi="PingFang SC" w:eastAsia="PingFang SC" w:cs="PingFang SC"/>
          <w:b/>
          <w:bCs/>
          <w:snapToGrid w:val="0"/>
          <w:color w:val="000000"/>
          <w:spacing w:val="-3"/>
          <w:kern w:val="0"/>
          <w:sz w:val="24"/>
          <w:szCs w:val="24"/>
          <w:lang w:val="en-US" w:eastAsia="en-US" w:bidi="ar-SA"/>
        </w:rPr>
        <w:t>Advertencia: No cargue los detectores de gas combustible portátiles en el sitio de detección para evitar incendios o explosiones causados por chispas al desconectar el cargador. Evite cargar los detectores de gas portátiles mientras estén encendidos para no reducir la velocidad de carga ni la vida útil de la batería.</w:t>
      </w:r>
    </w:p>
    <w:p w14:paraId="5BEDC9A6">
      <w:pPr>
        <w:pStyle w:val="2"/>
        <w:spacing w:line="233" w:lineRule="auto"/>
        <w:outlineLvl w:val="1"/>
        <w:rPr>
          <w:rFonts w:hint="default"/>
          <w:sz w:val="28"/>
          <w:szCs w:val="28"/>
          <w:lang w:val="en-US"/>
        </w:rPr>
      </w:pPr>
      <w:bookmarkStart w:id="14" w:name="bookmark10"/>
      <w:bookmarkEnd w:id="14"/>
      <w:bookmarkStart w:id="15" w:name="bookmark11"/>
      <w:bookmarkEnd w:id="15"/>
      <w:r>
        <w:rPr>
          <w:rFonts w:ascii="Times New Roman" w:hAnsi="PingFang SC" w:eastAsia="PingFang SC" w:cs="PingFang SC"/>
          <w:b/>
          <w:bCs/>
          <w:snapToGrid w:val="0"/>
          <w:color w:val="000000"/>
          <w:spacing w:val="-1"/>
          <w:kern w:val="0"/>
          <w:sz w:val="28"/>
          <w:szCs w:val="28"/>
          <w:lang w:val="en-US" w:eastAsia="en-US" w:bidi="ar-SA"/>
        </w:rPr>
        <w:t>4.5 Instrucciones de funcionamiento</w:t>
      </w:r>
    </w:p>
    <w:p w14:paraId="2F345D17">
      <w:pPr>
        <w:pStyle w:val="2"/>
        <w:spacing w:before="232" w:line="229" w:lineRule="auto"/>
        <w:ind w:left="20"/>
        <w:outlineLvl w:val="0"/>
        <w:rPr>
          <w:rFonts w:hint="default"/>
          <w:lang w:val="en-US"/>
        </w:rPr>
      </w:pPr>
      <w:bookmarkStart w:id="16" w:name="bookmark36"/>
      <w:bookmarkEnd w:id="16"/>
      <w:r>
        <w:rPr>
          <w:rFonts w:ascii="Times New Roman" w:hAnsi="PingFang SC" w:eastAsia="PingFang SC" w:cs="PingFang SC"/>
          <w:snapToGrid w:val="0"/>
          <w:color w:val="000000"/>
          <w:kern w:val="0"/>
          <w:sz w:val="24"/>
          <w:szCs w:val="24"/>
          <w:lang w:val="en-US" w:eastAsia="en-US" w:bidi="ar-SA"/>
        </w:rPr>
        <w:t>1. Configuración de canales</w:t>
      </w:r>
    </w:p>
    <w:p w14:paraId="49663A41">
      <w:pPr>
        <w:pStyle w:val="2"/>
        <w:spacing w:before="206" w:line="222" w:lineRule="auto"/>
        <w:ind w:left="426"/>
        <w:rPr>
          <w:rFonts w:hint="default"/>
          <w:lang w:val="en-US"/>
        </w:rPr>
      </w:pPr>
      <w:r>
        <w:rPr>
          <w:rFonts w:ascii="Times New Roman" w:hAnsi="PingFang SC" w:eastAsia="PingFang SC" w:cs="PingFang SC"/>
          <w:snapToGrid w:val="0"/>
          <w:color w:val="000000"/>
          <w:spacing w:val="-1"/>
          <w:kern w:val="0"/>
          <w:sz w:val="24"/>
          <w:szCs w:val="24"/>
          <w:lang w:val="en-US" w:eastAsia="en-US" w:bidi="ar-SA"/>
        </w:rPr>
        <w:t>a) Acceda al menú, pulse el icono "Configuración de canales" para acceder al menú de configuración de canales. Como se muestra en la figura</w:t>
      </w:r>
    </w:p>
    <w:p w14:paraId="12BF3581">
      <w:pPr>
        <w:pStyle w:val="2"/>
        <w:spacing w:before="220" w:line="222" w:lineRule="auto"/>
        <w:ind w:left="435"/>
        <w:rPr>
          <w:rFonts w:hint="default"/>
          <w:lang w:val="en-US"/>
        </w:rPr>
      </w:pPr>
      <w:r>
        <w:rPr>
          <w:rFonts w:ascii="Times New Roman" w:hAnsi="PingFang SC" w:eastAsia="PingFang SC" w:cs="PingFang SC"/>
          <w:snapToGrid w:val="0"/>
          <w:color w:val="000000"/>
          <w:spacing w:val="2"/>
          <w:kern w:val="0"/>
          <w:sz w:val="24"/>
          <w:szCs w:val="24"/>
          <w:lang w:val="en-US" w:eastAsia="en-US" w:bidi="ar-SA"/>
        </w:rPr>
        <w:t>b) Pulse el menú desplegable "Selección de canal" y, a continuación, seleccione el canal que desea configurar, como se muestra en la figura 1-1</w:t>
      </w:r>
    </w:p>
    <w:p w14:paraId="7A612B9F">
      <w:pPr>
        <w:pStyle w:val="2"/>
        <w:spacing w:before="240" w:line="208" w:lineRule="auto"/>
        <w:jc w:val="right"/>
        <w:rPr>
          <w:rFonts w:hint="default"/>
          <w:lang w:val="en-US"/>
        </w:rPr>
      </w:pPr>
      <w:r>
        <w:rPr>
          <w:rFonts w:ascii="Times New Roman" w:hAnsi="PingFang SC" w:eastAsia="PingFang SC" w:cs="PingFang SC"/>
          <w:snapToGrid w:val="0"/>
          <w:color w:val="000000"/>
          <w:spacing w:val="2"/>
          <w:kern w:val="0"/>
          <w:sz w:val="24"/>
          <w:szCs w:val="24"/>
          <w:lang w:val="en-US" w:eastAsia="en-US" w:bidi="ar-SA"/>
        </w:rPr>
        <w:t>c) Pulse el parámetro que desea modificar. Tras realizar los cambios, pulse el botón Guardar para guardar la configuración actual; de lo contrario, pulse</w:t>
      </w:r>
    </w:p>
    <w:p w14:paraId="4AE3D2C9">
      <w:pPr>
        <w:spacing w:line="164" w:lineRule="exact"/>
      </w:pPr>
    </w:p>
    <w:p w14:paraId="27BABD31">
      <w:pPr>
        <w:spacing w:line="164" w:lineRule="exact"/>
        <w:sectPr>
          <w:footerReference r:id="rId10" w:type="default"/>
          <w:pgSz w:w="11850" w:h="16783"/>
          <w:pgMar w:top="1183" w:right="1134" w:bottom="875" w:left="1137" w:header="0" w:footer="685" w:gutter="0"/>
          <w:cols w:equalWidth="0" w:num="1">
            <w:col w:w="9579"/>
          </w:cols>
        </w:sectPr>
      </w:pPr>
    </w:p>
    <w:p w14:paraId="5A5153F2">
      <w:pPr>
        <w:pStyle w:val="2"/>
        <w:spacing w:before="61" w:line="222" w:lineRule="auto"/>
        <w:ind w:left="505"/>
        <w:rPr>
          <w:rFonts w:hint="default"/>
          <w:lang w:val="en-US"/>
        </w:rPr>
      </w:pPr>
      <w:r>
        <w:rPr>
          <w:rFonts w:ascii="Times New Roman" w:hAnsi="PingFang SC" w:eastAsia="PingFang SC" w:cs="PingFang SC"/>
          <w:snapToGrid w:val="0"/>
          <w:color w:val="000000"/>
          <w:spacing w:val="3"/>
          <w:kern w:val="0"/>
          <w:sz w:val="24"/>
          <w:szCs w:val="24"/>
          <w:lang w:val="en-US" w:eastAsia="en-US" w:bidi="ar-SA"/>
        </w:rPr>
        <w:t>Pulse el botón Atrás para cancelar la configuración. Consulte la figura 1-2</w:t>
      </w:r>
    </w:p>
    <w:p w14:paraId="4BC94838">
      <w:pPr>
        <w:spacing w:before="128" w:line="2721" w:lineRule="exact"/>
        <w:ind w:firstLine="2616"/>
      </w:pPr>
      <w:r>
        <w:rPr>
          <w:position w:val="-54"/>
        </w:rPr>
        <w:drawing>
          <wp:inline distT="0" distB="0" distL="0" distR="0">
            <wp:extent cx="1035685" cy="1727835"/>
            <wp:effectExtent l="0" t="0" r="0" b="0"/>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29"/>
                    <a:stretch>
                      <a:fillRect/>
                    </a:stretch>
                  </pic:blipFill>
                  <pic:spPr>
                    <a:xfrm>
                      <a:off x="0" y="0"/>
                      <a:ext cx="1036319" cy="1728216"/>
                    </a:xfrm>
                    <a:prstGeom prst="rect">
                      <a:avLst/>
                    </a:prstGeom>
                  </pic:spPr>
                </pic:pic>
              </a:graphicData>
            </a:graphic>
          </wp:inline>
        </w:drawing>
      </w:r>
    </w:p>
    <w:p w14:paraId="392C9B1B">
      <w:pPr>
        <w:pStyle w:val="2"/>
        <w:spacing w:before="193" w:line="205" w:lineRule="auto"/>
        <w:ind w:left="3070"/>
        <w:rPr>
          <w:rFonts w:hint="default"/>
          <w:sz w:val="22"/>
          <w:szCs w:val="22"/>
          <w:lang w:val="en-US"/>
        </w:rPr>
      </w:pPr>
      <w:r>
        <w:rPr>
          <w:rFonts w:ascii="Times New Roman" w:hAnsi="PingFang SC" w:eastAsia="PingFang SC" w:cs="PingFang SC"/>
          <w:snapToGrid w:val="0"/>
          <w:color w:val="000000"/>
          <w:spacing w:val="2"/>
          <w:kern w:val="0"/>
          <w:sz w:val="22"/>
          <w:szCs w:val="22"/>
          <w:lang w:val="en-US" w:eastAsia="en-US" w:bidi="ar-SA"/>
        </w:rPr>
        <w:t>gráfico 1-1</w:t>
      </w:r>
    </w:p>
    <w:p w14:paraId="0226613A">
      <w:pPr>
        <w:spacing w:line="14" w:lineRule="auto"/>
        <w:rPr>
          <w:rFonts w:ascii="Arial"/>
          <w:sz w:val="2"/>
        </w:rPr>
      </w:pPr>
      <w:r>
        <w:rPr>
          <w:rFonts w:ascii="Arial" w:hAnsi="Arial" w:eastAsia="Arial" w:cs="Arial"/>
          <w:sz w:val="2"/>
          <w:szCs w:val="2"/>
        </w:rPr>
        <w:br w:type="column"/>
      </w:r>
    </w:p>
    <w:p w14:paraId="089B7003">
      <w:pPr>
        <w:spacing w:line="271" w:lineRule="auto"/>
        <w:rPr>
          <w:rFonts w:ascii="Arial"/>
          <w:sz w:val="21"/>
        </w:rPr>
      </w:pPr>
    </w:p>
    <w:p w14:paraId="3E947FCB">
      <w:pPr>
        <w:spacing w:line="271" w:lineRule="auto"/>
        <w:rPr>
          <w:rFonts w:ascii="Arial"/>
          <w:sz w:val="21"/>
        </w:rPr>
      </w:pPr>
    </w:p>
    <w:p w14:paraId="36F37FB3">
      <w:pPr>
        <w:spacing w:before="1" w:line="2767" w:lineRule="exact"/>
      </w:pPr>
      <w:r>
        <w:rPr>
          <w:position w:val="-55"/>
        </w:rPr>
        <w:drawing>
          <wp:inline distT="0" distB="0" distL="0" distR="0">
            <wp:extent cx="1092200" cy="1757045"/>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30"/>
                    <a:stretch>
                      <a:fillRect/>
                    </a:stretch>
                  </pic:blipFill>
                  <pic:spPr>
                    <a:xfrm>
                      <a:off x="0" y="0"/>
                      <a:ext cx="1092708" cy="1757171"/>
                    </a:xfrm>
                    <a:prstGeom prst="rect">
                      <a:avLst/>
                    </a:prstGeom>
                  </pic:spPr>
                </pic:pic>
              </a:graphicData>
            </a:graphic>
          </wp:inline>
        </w:drawing>
      </w:r>
    </w:p>
    <w:p w14:paraId="5CA9C6B9">
      <w:pPr>
        <w:pStyle w:val="2"/>
        <w:spacing w:before="192" w:line="205" w:lineRule="auto"/>
        <w:ind w:left="439"/>
        <w:rPr>
          <w:rFonts w:hint="default"/>
          <w:sz w:val="22"/>
          <w:szCs w:val="22"/>
          <w:lang w:val="en-US"/>
        </w:rPr>
      </w:pPr>
      <w:r>
        <w:rPr>
          <w:rFonts w:ascii="Times New Roman" w:hAnsi="PingFang SC" w:eastAsia="PingFang SC" w:cs="PingFang SC"/>
          <w:snapToGrid w:val="0"/>
          <w:color w:val="000000"/>
          <w:spacing w:val="-9"/>
          <w:kern w:val="0"/>
          <w:sz w:val="22"/>
          <w:szCs w:val="22"/>
          <w:lang w:val="en-US" w:eastAsia="en-US" w:bidi="ar-SA"/>
        </w:rPr>
        <w:t>gráfico 1-2</w:t>
      </w:r>
    </w:p>
    <w:p w14:paraId="0FC99354">
      <w:pPr>
        <w:spacing w:line="205" w:lineRule="auto"/>
        <w:rPr>
          <w:sz w:val="22"/>
          <w:szCs w:val="22"/>
        </w:rPr>
        <w:sectPr>
          <w:type w:val="continuous"/>
          <w:pgSz w:w="11850" w:h="16783"/>
          <w:pgMar w:top="1183" w:right="1134" w:bottom="875" w:left="1137" w:header="0" w:footer="685" w:gutter="0"/>
          <w:cols w:equalWidth="0" w:num="2">
            <w:col w:w="4701" w:space="100"/>
            <w:col w:w="4779"/>
          </w:cols>
        </w:sectPr>
      </w:pPr>
    </w:p>
    <w:p w14:paraId="168C249C">
      <w:pPr>
        <w:pStyle w:val="2"/>
        <w:spacing w:before="269" w:line="229" w:lineRule="auto"/>
        <w:ind w:left="9"/>
        <w:outlineLvl w:val="0"/>
        <w:rPr>
          <w:rFonts w:hint="default"/>
          <w:lang w:val="en-US"/>
        </w:rPr>
      </w:pPr>
      <w:bookmarkStart w:id="17" w:name="bookmark12"/>
      <w:bookmarkEnd w:id="17"/>
      <w:bookmarkStart w:id="18" w:name="bookmark13"/>
      <w:bookmarkEnd w:id="18"/>
      <w:r>
        <w:rPr>
          <w:rFonts w:ascii="Times New Roman" w:hAnsi="PingFang SC" w:eastAsia="PingFang SC" w:cs="PingFang SC"/>
          <w:snapToGrid w:val="0"/>
          <w:color w:val="000000"/>
          <w:spacing w:val="-9"/>
          <w:kern w:val="0"/>
          <w:sz w:val="24"/>
          <w:szCs w:val="24"/>
          <w:lang w:val="en-US" w:eastAsia="en-US" w:bidi="ar-SA"/>
        </w:rPr>
        <w:t>2. Configuración de hora</w:t>
      </w:r>
    </w:p>
    <w:p w14:paraId="1394F6DA">
      <w:pPr>
        <w:pStyle w:val="2"/>
        <w:spacing w:before="206" w:line="222" w:lineRule="auto"/>
        <w:ind w:left="425"/>
        <w:rPr>
          <w:rFonts w:hint="default"/>
          <w:lang w:val="en-US"/>
        </w:rPr>
      </w:pPr>
      <w:r>
        <w:rPr>
          <w:rFonts w:ascii="Times New Roman" w:hAnsi="PingFang SC" w:eastAsia="PingFang SC" w:cs="PingFang SC"/>
          <w:snapToGrid w:val="0"/>
          <w:color w:val="000000"/>
          <w:spacing w:val="-1"/>
          <w:kern w:val="0"/>
          <w:sz w:val="24"/>
          <w:szCs w:val="24"/>
          <w:lang w:val="en-US" w:eastAsia="en-US" w:bidi="ar-SA"/>
        </w:rPr>
        <w:t>a) Acceda al menú, pulse el icono "Configuración de hora" para acceder al menú de configuración de hora, como se muestra en la figura 2-1</w:t>
      </w:r>
    </w:p>
    <w:p w14:paraId="50579978">
      <w:pPr>
        <w:pStyle w:val="2"/>
        <w:spacing w:before="220" w:line="222" w:lineRule="auto"/>
        <w:ind w:left="435"/>
        <w:rPr>
          <w:rFonts w:hint="default"/>
          <w:lang w:val="en-US"/>
        </w:rPr>
      </w:pPr>
      <w:r>
        <w:rPr>
          <w:rFonts w:ascii="Times New Roman" w:hAnsi="PingFang SC" w:eastAsia="PingFang SC" w:cs="PingFang SC"/>
          <w:snapToGrid w:val="0"/>
          <w:color w:val="000000"/>
          <w:spacing w:val="-4"/>
          <w:kern w:val="0"/>
          <w:sz w:val="24"/>
          <w:szCs w:val="24"/>
          <w:lang w:val="en-US" w:eastAsia="en-US" w:bidi="ar-SA"/>
        </w:rPr>
        <w:t>b) Pulse el menú desplegable para la modificación de parámetros y, a continuación, seleccione el valor que desea ajustar, como se muestra en la figura 2-2</w:t>
      </w:r>
    </w:p>
    <w:p w14:paraId="695BCD80">
      <w:pPr>
        <w:pStyle w:val="2"/>
        <w:spacing w:before="222" w:line="247" w:lineRule="auto"/>
        <w:ind w:left="838" w:hanging="411"/>
        <w:rPr>
          <w:rFonts w:hint="default"/>
          <w:lang w:val="en-US"/>
        </w:rPr>
      </w:pPr>
      <w:r>
        <w:rPr>
          <w:rFonts w:ascii="Times New Roman" w:hAnsi="PingFang SC" w:eastAsia="PingFang SC" w:cs="PingFang SC"/>
          <w:snapToGrid w:val="0"/>
          <w:color w:val="000000"/>
          <w:spacing w:val="-2"/>
          <w:kern w:val="0"/>
          <w:sz w:val="24"/>
          <w:szCs w:val="24"/>
          <w:lang w:val="en-US" w:eastAsia="en-US" w:bidi="ar-SA"/>
        </w:rPr>
        <w:t>c) Tras realizar los cambios, pulse el botón Guardar para guardar los parámetros actuales, o pulse el botón Atrás para cancelar la configuración.</w:t>
      </w:r>
    </w:p>
    <w:p w14:paraId="2470CF76">
      <w:pPr>
        <w:spacing w:line="247" w:lineRule="auto"/>
        <w:sectPr>
          <w:type w:val="continuous"/>
          <w:pgSz w:w="11850" w:h="16783"/>
          <w:pgMar w:top="1183" w:right="1134" w:bottom="875" w:left="1137" w:header="0" w:footer="685" w:gutter="0"/>
          <w:cols w:equalWidth="0" w:num="1">
            <w:col w:w="9579"/>
          </w:cols>
        </w:sectPr>
      </w:pPr>
    </w:p>
    <w:p w14:paraId="70ECC532">
      <w:pPr>
        <w:spacing w:line="3139" w:lineRule="exact"/>
        <w:ind w:firstLine="1980"/>
      </w:pPr>
      <w:r>
        <w:rPr>
          <w:position w:val="-62"/>
        </w:rPr>
        <w:drawing>
          <wp:inline distT="0" distB="0" distL="0" distR="0">
            <wp:extent cx="1194435" cy="1993265"/>
            <wp:effectExtent l="0" t="0" r="0" b="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31"/>
                    <a:stretch>
                      <a:fillRect/>
                    </a:stretch>
                  </pic:blipFill>
                  <pic:spPr>
                    <a:xfrm>
                      <a:off x="0" y="0"/>
                      <a:ext cx="1194816" cy="1993391"/>
                    </a:xfrm>
                    <a:prstGeom prst="rect">
                      <a:avLst/>
                    </a:prstGeom>
                  </pic:spPr>
                </pic:pic>
              </a:graphicData>
            </a:graphic>
          </wp:inline>
        </w:drawing>
      </w:r>
    </w:p>
    <w:p w14:paraId="366F5BC1">
      <w:pPr>
        <w:pStyle w:val="2"/>
        <w:spacing w:before="304" w:line="204" w:lineRule="auto"/>
        <w:ind w:left="2594"/>
        <w:rPr>
          <w:rFonts w:hint="default"/>
          <w:lang w:val="en-US"/>
        </w:rPr>
      </w:pPr>
      <w:bookmarkStart w:id="19" w:name="bookmark15"/>
      <w:bookmarkEnd w:id="19"/>
      <w:bookmarkStart w:id="20" w:name="bookmark14"/>
      <w:bookmarkEnd w:id="20"/>
      <w:r>
        <w:rPr>
          <w:rFonts w:ascii="Times New Roman" w:hAnsi="PingFang SC" w:eastAsia="PingFang SC" w:cs="PingFang SC"/>
          <w:snapToGrid w:val="0"/>
          <w:color w:val="000000"/>
          <w:spacing w:val="-8"/>
          <w:kern w:val="0"/>
          <w:sz w:val="24"/>
          <w:szCs w:val="24"/>
          <w:lang w:val="en-US" w:eastAsia="en-US" w:bidi="ar-SA"/>
        </w:rPr>
        <w:t>gráfico 2-1</w:t>
      </w:r>
    </w:p>
    <w:p w14:paraId="7BA9181D">
      <w:pPr>
        <w:spacing w:line="14" w:lineRule="auto"/>
        <w:rPr>
          <w:rFonts w:ascii="Arial"/>
          <w:sz w:val="2"/>
        </w:rPr>
      </w:pPr>
      <w:r>
        <w:rPr>
          <w:rFonts w:ascii="Arial" w:hAnsi="Arial" w:eastAsia="Arial" w:cs="Arial"/>
          <w:sz w:val="2"/>
          <w:szCs w:val="2"/>
        </w:rPr>
        <w:br w:type="column"/>
      </w:r>
    </w:p>
    <w:p w14:paraId="7DCAEB82">
      <w:pPr>
        <w:spacing w:before="3" w:line="3132" w:lineRule="exact"/>
      </w:pPr>
      <w:r>
        <w:rPr>
          <w:position w:val="-62"/>
        </w:rPr>
        <w:drawing>
          <wp:inline distT="0" distB="0" distL="0" distR="0">
            <wp:extent cx="1193165" cy="1988185"/>
            <wp:effectExtent l="0" t="0" r="0" b="0"/>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32"/>
                    <a:stretch>
                      <a:fillRect/>
                    </a:stretch>
                  </pic:blipFill>
                  <pic:spPr>
                    <a:xfrm>
                      <a:off x="0" y="0"/>
                      <a:ext cx="1193291" cy="1988819"/>
                    </a:xfrm>
                    <a:prstGeom prst="rect">
                      <a:avLst/>
                    </a:prstGeom>
                  </pic:spPr>
                </pic:pic>
              </a:graphicData>
            </a:graphic>
          </wp:inline>
        </w:drawing>
      </w:r>
    </w:p>
    <w:p w14:paraId="13E91E79">
      <w:pPr>
        <w:pStyle w:val="2"/>
        <w:spacing w:before="307" w:line="204" w:lineRule="auto"/>
        <w:ind w:left="498"/>
        <w:rPr>
          <w:rFonts w:hint="default"/>
          <w:lang w:val="en-US"/>
        </w:rPr>
      </w:pPr>
      <w:r>
        <w:rPr>
          <w:rFonts w:ascii="Times New Roman" w:hAnsi="PingFang SC" w:eastAsia="PingFang SC" w:cs="PingFang SC"/>
          <w:snapToGrid w:val="0"/>
          <w:color w:val="000000"/>
          <w:spacing w:val="-16"/>
          <w:kern w:val="0"/>
          <w:sz w:val="24"/>
          <w:szCs w:val="24"/>
          <w:lang w:val="en-US" w:eastAsia="en-US" w:bidi="ar-SA"/>
        </w:rPr>
        <w:t>gráfico 2-2</w:t>
      </w:r>
    </w:p>
    <w:p w14:paraId="504E3013">
      <w:pPr>
        <w:spacing w:line="204" w:lineRule="auto"/>
        <w:sectPr>
          <w:footerReference r:id="rId11" w:type="default"/>
          <w:pgSz w:w="11850" w:h="16783"/>
          <w:pgMar w:top="1281" w:right="1189" w:bottom="875" w:left="1134" w:header="0" w:footer="685" w:gutter="0"/>
          <w:cols w:equalWidth="0" w:num="2">
            <w:col w:w="4243" w:space="100"/>
            <w:col w:w="5185"/>
          </w:cols>
        </w:sectPr>
      </w:pPr>
    </w:p>
    <w:p w14:paraId="24F93F19">
      <w:pPr>
        <w:pStyle w:val="2"/>
        <w:spacing w:before="251" w:line="229" w:lineRule="auto"/>
        <w:ind w:left="15"/>
        <w:outlineLvl w:val="0"/>
        <w:rPr>
          <w:rFonts w:hint="default"/>
          <w:lang w:val="en-US"/>
        </w:rPr>
      </w:pPr>
      <w:bookmarkStart w:id="21" w:name="bookmark37"/>
      <w:bookmarkEnd w:id="21"/>
      <w:r>
        <w:rPr>
          <w:rFonts w:ascii="Times New Roman" w:hAnsi="PingFang SC" w:eastAsia="PingFang SC" w:cs="PingFang SC"/>
          <w:snapToGrid w:val="0"/>
          <w:color w:val="000000"/>
          <w:spacing w:val="-7"/>
          <w:kern w:val="0"/>
          <w:sz w:val="24"/>
          <w:szCs w:val="24"/>
          <w:lang w:val="en-US" w:eastAsia="en-US" w:bidi="ar-SA"/>
        </w:rPr>
        <w:t>3. Registros de informes de alarma</w:t>
      </w:r>
    </w:p>
    <w:p w14:paraId="233D6775">
      <w:pPr>
        <w:pStyle w:val="2"/>
        <w:spacing w:before="207" w:line="222" w:lineRule="auto"/>
        <w:ind w:left="429"/>
        <w:rPr>
          <w:rFonts w:hint="default"/>
          <w:lang w:val="en-US"/>
        </w:rPr>
      </w:pPr>
      <w:r>
        <w:rPr>
          <w:rFonts w:ascii="Times New Roman" w:hAnsi="PingFang SC" w:eastAsia="PingFang SC" w:cs="PingFang SC"/>
          <w:snapToGrid w:val="0"/>
          <w:color w:val="000000"/>
          <w:spacing w:val="-1"/>
          <w:kern w:val="0"/>
          <w:sz w:val="24"/>
          <w:szCs w:val="24"/>
          <w:lang w:val="en-US" w:eastAsia="en-US" w:bidi="ar-SA"/>
        </w:rPr>
        <w:t>a) Acceda al menú, pulse el icono "Registros de alarma" para acceder al menú de visualización de registros de alarma, como se muestra en la figura 3</w:t>
      </w:r>
    </w:p>
    <w:p w14:paraId="138E3E50">
      <w:pPr>
        <w:pStyle w:val="2"/>
        <w:spacing w:before="219" w:line="222" w:lineRule="auto"/>
        <w:ind w:left="438"/>
        <w:rPr>
          <w:rFonts w:hint="default"/>
          <w:lang w:val="en-US"/>
        </w:rPr>
      </w:pPr>
      <w:r>
        <w:rPr>
          <w:rFonts w:ascii="Times New Roman" w:hAnsi="PingFang SC" w:eastAsia="PingFang SC" w:cs="PingFang SC"/>
          <w:snapToGrid w:val="0"/>
          <w:color w:val="000000"/>
          <w:spacing w:val="6"/>
          <w:kern w:val="0"/>
          <w:sz w:val="24"/>
          <w:szCs w:val="24"/>
          <w:lang w:val="en-US" w:eastAsia="en-US" w:bidi="ar-SA"/>
        </w:rPr>
        <w:t>b) Pulse los botones "&lt;" o "&gt;" para cambiar de página y pulse el botón "Tres" para volver a la interfaz de menú.</w:t>
      </w:r>
    </w:p>
    <w:p w14:paraId="46F9CC33">
      <w:pPr>
        <w:spacing w:before="123" w:line="3312" w:lineRule="exact"/>
        <w:ind w:firstLine="2340"/>
      </w:pPr>
      <w:r>
        <w:rPr>
          <w:position w:val="-66"/>
        </w:rPr>
        <w:drawing>
          <wp:inline distT="0" distB="0" distL="0" distR="0">
            <wp:extent cx="1261745" cy="2103120"/>
            <wp:effectExtent l="0" t="0" r="0" b="0"/>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33"/>
                    <a:stretch>
                      <a:fillRect/>
                    </a:stretch>
                  </pic:blipFill>
                  <pic:spPr>
                    <a:xfrm>
                      <a:off x="0" y="0"/>
                      <a:ext cx="1261872" cy="2103120"/>
                    </a:xfrm>
                    <a:prstGeom prst="rect">
                      <a:avLst/>
                    </a:prstGeom>
                  </pic:spPr>
                </pic:pic>
              </a:graphicData>
            </a:graphic>
          </wp:inline>
        </w:drawing>
      </w:r>
    </w:p>
    <w:p w14:paraId="643570B4">
      <w:pPr>
        <w:pStyle w:val="2"/>
        <w:spacing w:before="217" w:line="230" w:lineRule="auto"/>
        <w:ind w:left="2894"/>
        <w:rPr>
          <w:rFonts w:hint="default"/>
          <w:lang w:val="en-US"/>
        </w:rPr>
      </w:pPr>
      <w:r>
        <w:rPr>
          <w:rFonts w:ascii="Times New Roman" w:hAnsi="PingFang SC" w:eastAsia="PingFang SC" w:cs="PingFang SC"/>
          <w:snapToGrid w:val="0"/>
          <w:color w:val="000000"/>
          <w:spacing w:val="-8"/>
          <w:kern w:val="0"/>
          <w:sz w:val="24"/>
          <w:szCs w:val="24"/>
          <w:lang w:val="en-US" w:eastAsia="en-US" w:bidi="ar-SA"/>
        </w:rPr>
        <w:t>gráfico 3-1</w:t>
      </w:r>
    </w:p>
    <w:p w14:paraId="05C7AC8B">
      <w:pPr>
        <w:pStyle w:val="2"/>
        <w:spacing w:before="225" w:line="215" w:lineRule="auto"/>
        <w:outlineLvl w:val="0"/>
        <w:rPr>
          <w:rFonts w:hint="default"/>
          <w:lang w:val="en-US"/>
        </w:rPr>
      </w:pPr>
      <w:bookmarkStart w:id="22" w:name="bookmark16"/>
      <w:bookmarkEnd w:id="22"/>
      <w:bookmarkStart w:id="23" w:name="bookmark17"/>
      <w:bookmarkEnd w:id="23"/>
      <w:r>
        <w:rPr>
          <w:rFonts w:ascii="Times New Roman" w:hAnsi="PingFang SC" w:eastAsia="PingFang SC" w:cs="PingFang SC"/>
          <w:snapToGrid w:val="0"/>
          <w:color w:val="000000"/>
          <w:spacing w:val="-4"/>
          <w:kern w:val="0"/>
          <w:sz w:val="24"/>
          <w:szCs w:val="24"/>
          <w:lang w:val="en-US" w:eastAsia="en-US" w:bidi="ar-SA"/>
        </w:rPr>
        <w:t>4. Ajuste de cero</w:t>
      </w:r>
    </w:p>
    <w:p w14:paraId="565425D3">
      <w:pPr>
        <w:pStyle w:val="2"/>
        <w:spacing w:before="213" w:line="222" w:lineRule="auto"/>
        <w:ind w:right="1"/>
        <w:jc w:val="right"/>
        <w:rPr>
          <w:rFonts w:hint="default"/>
          <w:lang w:val="en-US"/>
        </w:rPr>
      </w:pPr>
      <w:r>
        <w:rPr>
          <w:rFonts w:ascii="Times New Roman" w:hAnsi="PingFang SC" w:eastAsia="PingFang SC" w:cs="PingFang SC"/>
          <w:snapToGrid w:val="0"/>
          <w:color w:val="000000"/>
          <w:spacing w:val="6"/>
          <w:kern w:val="0"/>
          <w:sz w:val="24"/>
          <w:szCs w:val="24"/>
          <w:lang w:val="en-US" w:eastAsia="en-US" w:bidi="ar-SA"/>
        </w:rPr>
        <w:t>a) Acceda al menú, pulse el icono "Punto cero", introduzca la contraseña "1111" y acceda al menú de ajuste de punto cero, como se muestra en la figura 4-1</w:t>
      </w:r>
    </w:p>
    <w:p w14:paraId="58F13A48">
      <w:pPr>
        <w:pStyle w:val="2"/>
        <w:spacing w:before="220" w:line="222" w:lineRule="auto"/>
        <w:ind w:left="438"/>
        <w:rPr>
          <w:rFonts w:hint="default"/>
          <w:lang w:val="en-US"/>
        </w:rPr>
      </w:pPr>
      <w:r>
        <w:rPr>
          <w:rFonts w:ascii="Times New Roman" w:hAnsi="PingFang SC" w:eastAsia="PingFang SC" w:cs="PingFang SC"/>
          <w:snapToGrid w:val="0"/>
          <w:color w:val="000000"/>
          <w:spacing w:val="6"/>
          <w:kern w:val="0"/>
          <w:sz w:val="24"/>
          <w:szCs w:val="24"/>
          <w:lang w:val="en-US" w:eastAsia="en-US" w:bidi="ar-SA"/>
        </w:rPr>
        <w:t>b) Pulse los botones "&lt;" o "&gt;" para cambiar de página y pulse el botón "Tres" para volver a la interfaz de menú.</w:t>
      </w:r>
    </w:p>
    <w:p w14:paraId="03C1BD60">
      <w:pPr>
        <w:pStyle w:val="2"/>
        <w:spacing w:before="219" w:line="257" w:lineRule="auto"/>
        <w:ind w:left="838" w:hanging="409"/>
        <w:rPr>
          <w:rFonts w:hint="default"/>
          <w:lang w:val="en-US"/>
        </w:rPr>
      </w:pPr>
      <w:r>
        <w:rPr>
          <w:rFonts w:ascii="Times New Roman" w:hAnsi="PingFang SC" w:eastAsia="PingFang SC" w:cs="PingFang SC"/>
          <w:snapToGrid w:val="0"/>
          <w:color w:val="000000"/>
          <w:spacing w:val="-1"/>
          <w:kern w:val="0"/>
          <w:sz w:val="24"/>
          <w:szCs w:val="24"/>
          <w:lang w:val="en-US" w:eastAsia="en-US" w:bidi="ar-SA"/>
        </w:rPr>
        <w:t>c) Una vez que el valor de punto cero se estabilice, pulse el botón "Guardar" para guardar el valor de punto cero actual. (Nota: El valor de punto cero debe guardarse en aire limpio.)</w:t>
      </w:r>
    </w:p>
    <w:p w14:paraId="46176A1F">
      <w:pPr>
        <w:spacing w:line="257" w:lineRule="auto"/>
        <w:sectPr>
          <w:type w:val="continuous"/>
          <w:pgSz w:w="11850" w:h="16783"/>
          <w:pgMar w:top="1281" w:right="1189" w:bottom="875" w:left="1134" w:header="0" w:footer="685" w:gutter="0"/>
          <w:cols w:equalWidth="0" w:num="1">
            <w:col w:w="9527"/>
          </w:cols>
        </w:sectPr>
      </w:pPr>
    </w:p>
    <w:p w14:paraId="27C86296">
      <w:pPr>
        <w:spacing w:before="140" w:line="3708" w:lineRule="exact"/>
        <w:ind w:firstLine="1896"/>
      </w:pPr>
      <w:r>
        <w:drawing>
          <wp:anchor distT="0" distB="0" distL="0" distR="0" simplePos="0" relativeHeight="251661312" behindDoc="0" locked="0" layoutInCell="1" allowOverlap="1">
            <wp:simplePos x="0" y="0"/>
            <wp:positionH relativeFrom="column">
              <wp:posOffset>3177540</wp:posOffset>
            </wp:positionH>
            <wp:positionV relativeFrom="paragraph">
              <wp:posOffset>99695</wp:posOffset>
            </wp:positionV>
            <wp:extent cx="1405255" cy="2339340"/>
            <wp:effectExtent l="0" t="0" r="0" b="0"/>
            <wp:wrapNone/>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34"/>
                    <a:stretch>
                      <a:fillRect/>
                    </a:stretch>
                  </pic:blipFill>
                  <pic:spPr>
                    <a:xfrm>
                      <a:off x="0" y="0"/>
                      <a:ext cx="1405128" cy="2339340"/>
                    </a:xfrm>
                    <a:prstGeom prst="rect">
                      <a:avLst/>
                    </a:prstGeom>
                  </pic:spPr>
                </pic:pic>
              </a:graphicData>
            </a:graphic>
          </wp:anchor>
        </w:drawing>
      </w:r>
      <w:r>
        <w:rPr>
          <w:position w:val="-74"/>
        </w:rPr>
        <w:drawing>
          <wp:inline distT="0" distB="0" distL="0" distR="0">
            <wp:extent cx="1412240" cy="2353945"/>
            <wp:effectExtent l="0" t="0" r="0" b="0"/>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35"/>
                    <a:stretch>
                      <a:fillRect/>
                    </a:stretch>
                  </pic:blipFill>
                  <pic:spPr>
                    <a:xfrm>
                      <a:off x="0" y="0"/>
                      <a:ext cx="1412747" cy="2354579"/>
                    </a:xfrm>
                    <a:prstGeom prst="rect">
                      <a:avLst/>
                    </a:prstGeom>
                  </pic:spPr>
                </pic:pic>
              </a:graphicData>
            </a:graphic>
          </wp:inline>
        </w:drawing>
      </w:r>
    </w:p>
    <w:p w14:paraId="75EF694E">
      <w:pPr>
        <w:spacing w:line="294" w:lineRule="auto"/>
        <w:rPr>
          <w:rFonts w:ascii="Arial"/>
          <w:sz w:val="21"/>
        </w:rPr>
      </w:pPr>
    </w:p>
    <w:p w14:paraId="390FB05C">
      <w:pPr>
        <w:pStyle w:val="2"/>
        <w:spacing w:before="100" w:line="230" w:lineRule="auto"/>
        <w:ind w:left="3300"/>
        <w:rPr>
          <w:rFonts w:hint="default"/>
          <w:sz w:val="22"/>
          <w:szCs w:val="22"/>
          <w:lang w:val="en-US"/>
        </w:rPr>
      </w:pPr>
      <w:r>
        <w:rPr>
          <w:rFonts w:ascii="Times New Roman" w:hAnsi="PingFang SC" w:eastAsia="PingFang SC" w:cs="PingFang SC"/>
          <w:snapToGrid w:val="0"/>
          <w:color w:val="000000"/>
          <w:spacing w:val="-6"/>
          <w:kern w:val="0"/>
          <w:sz w:val="22"/>
          <w:szCs w:val="22"/>
          <w:lang w:val="en-US" w:eastAsia="en-US" w:bidi="ar-SA"/>
        </w:rPr>
        <w:t>Figura 4-1 Figura 4-2 Figura 4-1 Figura 4-2</w:t>
      </w:r>
    </w:p>
    <w:p w14:paraId="4848FAF6">
      <w:pPr>
        <w:pStyle w:val="2"/>
        <w:spacing w:before="229" w:line="229" w:lineRule="auto"/>
        <w:ind w:left="6"/>
        <w:outlineLvl w:val="0"/>
        <w:rPr>
          <w:rFonts w:hint="default"/>
          <w:lang w:val="en-US"/>
        </w:rPr>
      </w:pPr>
      <w:bookmarkStart w:id="24" w:name="bookmark18"/>
      <w:bookmarkEnd w:id="24"/>
      <w:bookmarkStart w:id="25" w:name="bookmark19"/>
      <w:bookmarkEnd w:id="25"/>
      <w:r>
        <w:rPr>
          <w:rFonts w:ascii="Times New Roman" w:hAnsi="PingFang SC" w:eastAsia="PingFang SC" w:cs="PingFang SC"/>
          <w:snapToGrid w:val="0"/>
          <w:color w:val="000000"/>
          <w:spacing w:val="-11"/>
          <w:kern w:val="0"/>
          <w:sz w:val="24"/>
          <w:szCs w:val="24"/>
          <w:lang w:val="en-US" w:eastAsia="en-US" w:bidi="ar-SA"/>
        </w:rPr>
        <w:t>5. Calibración</w:t>
      </w:r>
    </w:p>
    <w:p w14:paraId="57C05BBE">
      <w:pPr>
        <w:pStyle w:val="2"/>
        <w:spacing w:before="206" w:line="222" w:lineRule="auto"/>
        <w:ind w:left="416"/>
        <w:rPr>
          <w:rFonts w:hint="default"/>
          <w:lang w:val="en-US"/>
        </w:rPr>
      </w:pPr>
      <w:r>
        <w:rPr>
          <w:rFonts w:ascii="Times New Roman" w:hAnsi="PingFang SC" w:eastAsia="PingFang SC" w:cs="PingFang SC"/>
          <w:snapToGrid w:val="0"/>
          <w:color w:val="000000"/>
          <w:spacing w:val="2"/>
          <w:kern w:val="0"/>
          <w:sz w:val="24"/>
          <w:szCs w:val="24"/>
          <w:lang w:val="en-US" w:eastAsia="en-US" w:bidi="ar-SA"/>
        </w:rPr>
        <w:t>a) Acceda al menú, pulse el icono "Calibración", introduzca la contraseña "9119" para acceder al menú de calibración, como se muestra en la figura 5-1</w:t>
      </w:r>
    </w:p>
    <w:p w14:paraId="683DEDE6">
      <w:pPr>
        <w:pStyle w:val="2"/>
        <w:spacing w:before="220" w:line="222" w:lineRule="auto"/>
        <w:ind w:left="426"/>
        <w:rPr>
          <w:rFonts w:hint="default"/>
          <w:lang w:val="en-US"/>
        </w:rPr>
      </w:pPr>
      <w:r>
        <w:rPr>
          <w:rFonts w:ascii="Times New Roman" w:hAnsi="PingFang SC" w:eastAsia="PingFang SC" w:cs="PingFang SC"/>
          <w:snapToGrid w:val="0"/>
          <w:color w:val="000000"/>
          <w:spacing w:val="6"/>
          <w:kern w:val="0"/>
          <w:sz w:val="24"/>
          <w:szCs w:val="24"/>
          <w:lang w:val="en-US" w:eastAsia="en-US" w:bidi="ar-SA"/>
        </w:rPr>
        <w:t>b) Pulse los botones "&lt;" o "&gt;" para cambiar de página y pulse el botón "Tres" para volver a la interfaz de menú;</w:t>
      </w:r>
    </w:p>
    <w:p w14:paraId="75DADF5A">
      <w:pPr>
        <w:pStyle w:val="2"/>
        <w:spacing w:before="220" w:line="229" w:lineRule="auto"/>
        <w:ind w:left="417"/>
        <w:rPr>
          <w:rFonts w:hint="default"/>
          <w:lang w:val="en-US"/>
        </w:rPr>
      </w:pPr>
      <w:r>
        <w:rPr>
          <w:rFonts w:ascii="Times New Roman" w:hAnsi="PingFang SC" w:eastAsia="PingFang SC" w:cs="PingFang SC"/>
          <w:snapToGrid w:val="0"/>
          <w:color w:val="000000"/>
          <w:spacing w:val="4"/>
          <w:kern w:val="0"/>
          <w:sz w:val="24"/>
          <w:szCs w:val="24"/>
          <w:lang w:val="en-US" w:eastAsia="en-US" w:bidi="ar-SA"/>
        </w:rPr>
        <w:t>c) Pulse "+" y "-" para ajustar los valores de concentración del gas patrón para el flujo de gas;</w:t>
      </w:r>
    </w:p>
    <w:p w14:paraId="408DF149">
      <w:pPr>
        <w:pStyle w:val="2"/>
        <w:spacing w:before="207" w:line="222" w:lineRule="auto"/>
        <w:jc w:val="right"/>
        <w:rPr>
          <w:rFonts w:hint="default"/>
          <w:lang w:val="en-US"/>
        </w:rPr>
      </w:pPr>
      <w:r>
        <w:rPr>
          <w:rFonts w:ascii="Times New Roman" w:hAnsi="PingFang SC" w:eastAsia="PingFang SC" w:cs="PingFang SC"/>
          <w:snapToGrid w:val="0"/>
          <w:color w:val="000000"/>
          <w:spacing w:val="1"/>
          <w:kern w:val="0"/>
          <w:sz w:val="24"/>
          <w:szCs w:val="24"/>
          <w:lang w:val="en-US" w:eastAsia="en-US" w:bidi="ar-SA"/>
        </w:rPr>
        <w:t>d) Ajuste el caudal del gas patrón a 1 L/min, espere a que se estabilice el valor AD y, a continuación, pulse el botón "Guardar" para completar la calibración.</w:t>
      </w:r>
    </w:p>
    <w:p w14:paraId="123CFA97">
      <w:pPr>
        <w:spacing w:line="374" w:lineRule="auto"/>
        <w:rPr>
          <w:rFonts w:ascii="Arial"/>
          <w:sz w:val="21"/>
        </w:rPr>
      </w:pPr>
    </w:p>
    <w:p w14:paraId="2E58CA56">
      <w:pPr>
        <w:spacing w:before="1" w:line="3326" w:lineRule="exact"/>
        <w:ind w:firstLine="4762"/>
      </w:pPr>
      <w:r>
        <w:drawing>
          <wp:anchor distT="0" distB="0" distL="0" distR="0" simplePos="0" relativeHeight="251662336" behindDoc="0" locked="0" layoutInCell="1" allowOverlap="1">
            <wp:simplePos x="0" y="0"/>
            <wp:positionH relativeFrom="column">
              <wp:posOffset>1220470</wp:posOffset>
            </wp:positionH>
            <wp:positionV relativeFrom="paragraph">
              <wp:posOffset>29210</wp:posOffset>
            </wp:positionV>
            <wp:extent cx="1228090" cy="2048510"/>
            <wp:effectExtent l="0" t="0" r="0" b="0"/>
            <wp:wrapNone/>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26"/>
                    <a:stretch>
                      <a:fillRect/>
                    </a:stretch>
                  </pic:blipFill>
                  <pic:spPr>
                    <a:xfrm>
                      <a:off x="0" y="0"/>
                      <a:ext cx="1228343" cy="2048256"/>
                    </a:xfrm>
                    <a:prstGeom prst="rect">
                      <a:avLst/>
                    </a:prstGeom>
                  </pic:spPr>
                </pic:pic>
              </a:graphicData>
            </a:graphic>
          </wp:anchor>
        </w:drawing>
      </w:r>
      <w:r>
        <w:rPr>
          <w:position w:val="-66"/>
        </w:rPr>
        <w:drawing>
          <wp:inline distT="0" distB="0" distL="0" distR="0">
            <wp:extent cx="1267460" cy="2112010"/>
            <wp:effectExtent l="0" t="0" r="0" b="0"/>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r:embed="rId36"/>
                    <a:stretch>
                      <a:fillRect/>
                    </a:stretch>
                  </pic:blipFill>
                  <pic:spPr>
                    <a:xfrm>
                      <a:off x="0" y="0"/>
                      <a:ext cx="1267968" cy="2112264"/>
                    </a:xfrm>
                    <a:prstGeom prst="rect">
                      <a:avLst/>
                    </a:prstGeom>
                  </pic:spPr>
                </pic:pic>
              </a:graphicData>
            </a:graphic>
          </wp:inline>
        </w:drawing>
      </w:r>
    </w:p>
    <w:p w14:paraId="5E2F142E">
      <w:pPr>
        <w:pStyle w:val="2"/>
        <w:spacing w:before="261" w:line="230" w:lineRule="auto"/>
        <w:ind w:left="2582"/>
        <w:rPr>
          <w:rFonts w:hint="default"/>
          <w:lang w:val="en-US"/>
        </w:rPr>
      </w:pPr>
      <w:r>
        <w:rPr>
          <w:rFonts w:ascii="Times New Roman" w:hAnsi="PingFang SC" w:eastAsia="PingFang SC" w:cs="PingFang SC"/>
          <w:snapToGrid w:val="0"/>
          <w:color w:val="000000"/>
          <w:spacing w:val="-13"/>
          <w:kern w:val="0"/>
          <w:sz w:val="24"/>
          <w:szCs w:val="24"/>
          <w:lang w:val="en-US" w:eastAsia="en-US" w:bidi="ar-SA"/>
        </w:rPr>
        <w:t>Figura 5-1 Figura 5-2 Figura 5-1 Figura 5-2</w:t>
      </w:r>
    </w:p>
    <w:p w14:paraId="25086AD1">
      <w:pPr>
        <w:pStyle w:val="2"/>
        <w:spacing w:before="206" w:line="229" w:lineRule="auto"/>
        <w:outlineLvl w:val="0"/>
        <w:rPr>
          <w:rFonts w:hint="default"/>
          <w:lang w:val="en-US"/>
        </w:rPr>
      </w:pPr>
      <w:bookmarkStart w:id="26" w:name="bookmark21"/>
      <w:bookmarkEnd w:id="26"/>
      <w:bookmarkStart w:id="27" w:name="bookmark20"/>
      <w:bookmarkEnd w:id="27"/>
      <w:r>
        <w:rPr>
          <w:rFonts w:ascii="Times New Roman" w:hAnsi="PingFang SC" w:eastAsia="PingFang SC" w:cs="PingFang SC"/>
          <w:snapToGrid w:val="0"/>
          <w:color w:val="000000"/>
          <w:spacing w:val="-7"/>
          <w:kern w:val="0"/>
          <w:sz w:val="24"/>
          <w:szCs w:val="24"/>
          <w:lang w:val="en-US" w:eastAsia="en-US" w:bidi="ar-SA"/>
        </w:rPr>
        <w:t>6. Restaurar configuración de fábrica</w:t>
      </w:r>
    </w:p>
    <w:p w14:paraId="20A97A3F">
      <w:pPr>
        <w:pStyle w:val="2"/>
        <w:spacing w:before="206" w:line="222" w:lineRule="auto"/>
        <w:ind w:left="408"/>
        <w:rPr>
          <w:rFonts w:hint="default"/>
          <w:lang w:val="en-US"/>
        </w:rPr>
      </w:pPr>
      <w:r>
        <w:rPr>
          <w:rFonts w:ascii="Times New Roman" w:hAnsi="PingFang SC" w:eastAsia="PingFang SC" w:cs="PingFang SC"/>
          <w:snapToGrid w:val="0"/>
          <w:color w:val="000000"/>
          <w:spacing w:val="1"/>
          <w:kern w:val="0"/>
          <w:sz w:val="24"/>
          <w:szCs w:val="24"/>
          <w:lang w:val="en-US" w:eastAsia="en-US" w:bidi="ar-SA"/>
        </w:rPr>
        <w:t>Acceda al menú, pulse el icono "Restaurar configuración de fábrica" e introduzca la contraseña "5656" para completar la restauración.</w:t>
      </w:r>
    </w:p>
    <w:p w14:paraId="04B328EC">
      <w:pPr>
        <w:spacing w:line="222" w:lineRule="auto"/>
        <w:sectPr>
          <w:footerReference r:id="rId12" w:type="default"/>
          <w:pgSz w:w="11850" w:h="16783"/>
          <w:pgMar w:top="1426" w:right="1582" w:bottom="875" w:left="1146" w:header="0" w:footer="685" w:gutter="0"/>
          <w:cols w:space="720" w:num="1"/>
        </w:sectPr>
      </w:pPr>
    </w:p>
    <w:p w14:paraId="21C6AF1A">
      <w:pPr>
        <w:pStyle w:val="2"/>
        <w:spacing w:before="61" w:line="229" w:lineRule="auto"/>
        <w:ind w:left="11"/>
        <w:outlineLvl w:val="0"/>
        <w:rPr>
          <w:rFonts w:hint="default"/>
          <w:lang w:val="en-US"/>
        </w:rPr>
      </w:pPr>
      <w:r>
        <w:rPr>
          <w:rFonts w:ascii="Times New Roman"/>
        </w:rPr>
        <w:drawing>
          <wp:anchor distT="0" distB="0" distL="0" distR="0" simplePos="0" relativeHeight="251664384" behindDoc="0" locked="0" layoutInCell="1" allowOverlap="1">
            <wp:simplePos x="0" y="0"/>
            <wp:positionH relativeFrom="column">
              <wp:posOffset>4511040</wp:posOffset>
            </wp:positionH>
            <wp:positionV relativeFrom="paragraph">
              <wp:posOffset>248920</wp:posOffset>
            </wp:positionV>
            <wp:extent cx="1250950" cy="2087880"/>
            <wp:effectExtent l="0" t="0" r="19050" b="20320"/>
            <wp:wrapNone/>
            <wp:docPr id="74" name="IM 106"/>
            <wp:cNvGraphicFramePr/>
            <a:graphic xmlns:a="http://schemas.openxmlformats.org/drawingml/2006/main">
              <a:graphicData uri="http://schemas.openxmlformats.org/drawingml/2006/picture">
                <pic:pic xmlns:pic="http://schemas.openxmlformats.org/drawingml/2006/picture">
                  <pic:nvPicPr>
                    <pic:cNvPr id="74" name="IM 106"/>
                    <pic:cNvPicPr/>
                  </pic:nvPicPr>
                  <pic:blipFill>
                    <a:blip r:embed="rId37"/>
                    <a:stretch>
                      <a:fillRect/>
                    </a:stretch>
                  </pic:blipFill>
                  <pic:spPr>
                    <a:xfrm>
                      <a:off x="0" y="0"/>
                      <a:ext cx="1251203" cy="2087879"/>
                    </a:xfrm>
                    <a:prstGeom prst="rect">
                      <a:avLst/>
                    </a:prstGeom>
                  </pic:spPr>
                </pic:pic>
              </a:graphicData>
            </a:graphic>
          </wp:anchor>
        </w:drawing>
      </w:r>
      <w:bookmarkStart w:id="28" w:name="bookmark23"/>
      <w:bookmarkEnd w:id="28"/>
      <w:bookmarkStart w:id="29" w:name="bookmark22"/>
      <w:bookmarkEnd w:id="29"/>
      <w:r>
        <w:rPr>
          <w:rFonts w:ascii="Times New Roman" w:hAnsi="PingFang SC" w:eastAsia="PingFang SC" w:cs="PingFang SC"/>
          <w:snapToGrid w:val="0"/>
          <w:color w:val="000000"/>
          <w:spacing w:val="-5"/>
          <w:kern w:val="0"/>
          <w:sz w:val="24"/>
          <w:szCs w:val="24"/>
          <w:lang w:val="en-US" w:eastAsia="en-US" w:bidi="ar-SA"/>
        </w:rPr>
        <w:t>7. Configuración de carga</w:t>
      </w:r>
    </w:p>
    <w:p w14:paraId="01546CD8">
      <w:pPr>
        <w:pStyle w:val="2"/>
        <w:spacing w:before="208" w:line="286" w:lineRule="auto"/>
        <w:ind w:left="841" w:right="2709" w:hanging="412"/>
        <w:rPr>
          <w:rFonts w:hint="default"/>
          <w:lang w:val="en-US"/>
        </w:rPr>
      </w:pPr>
      <w:r>
        <w:rPr>
          <w:rFonts w:ascii="Times New Roman" w:hAnsi="PingFang SC" w:eastAsia="PingFang SC" w:cs="PingFang SC"/>
          <w:snapToGrid w:val="0"/>
          <w:color w:val="000000"/>
          <w:spacing w:val="-3"/>
          <w:kern w:val="0"/>
          <w:sz w:val="24"/>
          <w:szCs w:val="24"/>
          <w:lang w:val="en-US" w:eastAsia="en-US" w:bidi="ar-SA"/>
        </w:rPr>
        <w:t>a) Acceda al menú, pulse el icono "Configuración de carga" para acceder al menú de configuración de carga, como se muestra en la figura 6</w:t>
      </w:r>
    </w:p>
    <w:p w14:paraId="009E092F">
      <w:pPr>
        <w:pStyle w:val="2"/>
        <w:spacing w:before="205" w:line="222" w:lineRule="auto"/>
        <w:ind w:left="438"/>
        <w:rPr>
          <w:rFonts w:hint="default"/>
          <w:lang w:val="en-US"/>
        </w:rPr>
      </w:pPr>
      <w:r>
        <w:rPr>
          <w:rFonts w:ascii="Times New Roman" w:hAnsi="PingFang SC" w:eastAsia="PingFang SC" w:cs="PingFang SC"/>
          <w:snapToGrid w:val="0"/>
          <w:color w:val="000000"/>
          <w:spacing w:val="-3"/>
          <w:kern w:val="0"/>
          <w:sz w:val="24"/>
          <w:szCs w:val="24"/>
          <w:lang w:val="en-US" w:eastAsia="en-US" w:bidi="ar-SA"/>
        </w:rPr>
        <w:t>b) Escanee el código QR en la aplicación móvil Zhihui Cloud o en el PC para añadir este equipo</w:t>
      </w:r>
    </w:p>
    <w:p w14:paraId="622524E0">
      <w:pPr>
        <w:pStyle w:val="2"/>
        <w:spacing w:before="220" w:line="229" w:lineRule="auto"/>
        <w:ind w:left="430"/>
        <w:rPr>
          <w:rFonts w:hint="default"/>
          <w:lang w:val="en-US"/>
        </w:rPr>
      </w:pPr>
      <w:r>
        <w:rPr>
          <w:rFonts w:ascii="Times New Roman" w:hAnsi="PingFang SC" w:eastAsia="PingFang SC" w:cs="PingFang SC"/>
          <w:snapToGrid w:val="0"/>
          <w:color w:val="000000"/>
          <w:spacing w:val="4"/>
          <w:kern w:val="0"/>
          <w:sz w:val="24"/>
          <w:szCs w:val="24"/>
          <w:lang w:val="en-US" w:eastAsia="en-US" w:bidi="ar-SA"/>
        </w:rPr>
        <w:t>c) Pulse el botón "Tres" para volver a la interfaz de menú</w:t>
      </w:r>
    </w:p>
    <w:p w14:paraId="45B83F72">
      <w:pPr>
        <w:spacing w:line="327" w:lineRule="auto"/>
        <w:rPr>
          <w:rFonts w:ascii="Arial"/>
          <w:sz w:val="21"/>
        </w:rPr>
      </w:pPr>
    </w:p>
    <w:p w14:paraId="556041CA">
      <w:pPr>
        <w:spacing w:line="328" w:lineRule="auto"/>
        <w:rPr>
          <w:rFonts w:ascii="Arial"/>
          <w:sz w:val="21"/>
        </w:rPr>
      </w:pPr>
    </w:p>
    <w:p w14:paraId="09CC853F">
      <w:pPr>
        <w:pStyle w:val="2"/>
        <w:spacing w:before="127" w:line="189" w:lineRule="auto"/>
        <w:ind w:left="3"/>
        <w:outlineLvl w:val="0"/>
        <w:rPr>
          <w:rFonts w:hint="default"/>
          <w:sz w:val="28"/>
          <w:szCs w:val="28"/>
          <w:lang w:val="en-US"/>
        </w:rPr>
      </w:pPr>
      <w:bookmarkStart w:id="30" w:name="bookmark25"/>
      <w:bookmarkEnd w:id="30"/>
      <w:bookmarkStart w:id="31" w:name="bookmark24"/>
      <w:bookmarkEnd w:id="31"/>
      <w:r>
        <w:rPr>
          <w:rFonts w:ascii="Times New Roman" w:hAnsi="PingFang SC" w:eastAsia="PingFang SC" w:cs="PingFang SC"/>
          <w:b/>
          <w:bCs/>
          <w:snapToGrid w:val="0"/>
          <w:color w:val="000000"/>
          <w:spacing w:val="-4"/>
          <w:kern w:val="0"/>
          <w:sz w:val="28"/>
          <w:szCs w:val="28"/>
          <w:lang w:val="en-US" w:eastAsia="en-US" w:bidi="ar-SA"/>
        </w:rPr>
        <w:t>V. Precauciones</w:t>
      </w:r>
    </w:p>
    <w:p w14:paraId="2B8989BA">
      <w:pPr>
        <w:pStyle w:val="2"/>
        <w:spacing w:before="220" w:line="228" w:lineRule="auto"/>
        <w:ind w:left="39"/>
        <w:rPr>
          <w:rFonts w:hint="default"/>
          <w:lang w:val="en-US"/>
        </w:rPr>
      </w:pPr>
      <w:r>
        <w:rPr>
          <w:rFonts w:ascii="Times New Roman" w:hAnsi="PingFang SC" w:eastAsia="PingFang SC" w:cs="PingFang SC"/>
          <w:snapToGrid w:val="0"/>
          <w:color w:val="000000"/>
          <w:kern w:val="0"/>
          <w:sz w:val="24"/>
          <w:szCs w:val="24"/>
          <w:lang w:val="en-US" w:eastAsia="en-US" w:bidi="ar-SA"/>
        </w:rPr>
        <w:t>(1) Evite que el dispositivo caiga desde una altura o sufra vibraciones intensas.</w:t>
      </w:r>
    </w:p>
    <w:p w14:paraId="19A83F70">
      <w:pPr>
        <w:pStyle w:val="2"/>
        <w:spacing w:before="208" w:line="222" w:lineRule="auto"/>
        <w:ind w:left="39"/>
        <w:rPr>
          <w:rFonts w:hint="default"/>
          <w:lang w:val="en-US"/>
        </w:rPr>
      </w:pPr>
      <w:r>
        <w:rPr>
          <w:rFonts w:ascii="Times New Roman" w:hAnsi="PingFang SC" w:eastAsia="PingFang SC" w:cs="PingFang SC"/>
          <w:snapToGrid w:val="0"/>
          <w:color w:val="000000"/>
          <w:spacing w:val="-4"/>
          <w:kern w:val="0"/>
          <w:sz w:val="24"/>
          <w:szCs w:val="24"/>
          <w:lang w:val="en-US" w:eastAsia="en-US" w:bidi="ar-SA"/>
        </w:rPr>
        <w:t>(2) El dispositivo puede no funcionar correctamente en presencia de gases de alta concentración.</w:t>
      </w:r>
    </w:p>
    <w:p w14:paraId="2D7E6756">
      <w:pPr>
        <w:pStyle w:val="2"/>
        <w:spacing w:before="220" w:line="222" w:lineRule="auto"/>
        <w:ind w:left="39"/>
        <w:rPr>
          <w:rFonts w:hint="default"/>
          <w:lang w:val="en-US"/>
        </w:rPr>
      </w:pPr>
      <w:r>
        <w:rPr>
          <w:rFonts w:ascii="Times New Roman" w:hAnsi="PingFang SC" w:eastAsia="PingFang SC" w:cs="PingFang SC"/>
          <w:snapToGrid w:val="0"/>
          <w:color w:val="000000"/>
          <w:spacing w:val="-3"/>
          <w:kern w:val="0"/>
          <w:sz w:val="24"/>
          <w:szCs w:val="24"/>
          <w:lang w:val="en-US" w:eastAsia="en-US" w:bidi="ar-SA"/>
        </w:rPr>
        <w:t>(3) Siga estrictamente las instrucciones de operación y uso; de lo contrario, podrían obtenerse resultados de prueba inexactos o dañarse el dispositivo.</w:t>
      </w:r>
    </w:p>
    <w:p w14:paraId="7D32A161">
      <w:pPr>
        <w:pStyle w:val="2"/>
        <w:spacing w:before="219" w:line="300" w:lineRule="auto"/>
        <w:ind w:firstLine="39"/>
        <w:rPr>
          <w:rFonts w:hint="default"/>
          <w:lang w:val="en-US"/>
        </w:rPr>
      </w:pPr>
      <w:r>
        <w:rPr>
          <w:rFonts w:ascii="Times New Roman" w:hAnsi="PingFang SC" w:eastAsia="PingFang SC" w:cs="PingFang SC"/>
          <w:snapToGrid w:val="0"/>
          <w:color w:val="000000"/>
          <w:spacing w:val="-1"/>
          <w:kern w:val="0"/>
          <w:sz w:val="24"/>
          <w:szCs w:val="24"/>
          <w:lang w:val="en-US" w:eastAsia="en-US" w:bidi="ar-SA"/>
        </w:rPr>
        <w:t>(4) Este producto no debe almacenarse ni utilizarse en entornos que contengan gases corrosivos (como concentraciones elevadas de cloro gaseoso), ni debe utilizarse ni almacenarse en otras condiciones severas (incluidas temperaturas extremas, humedad elevada, campos electromagnéticos o luz solar intensa).</w:t>
      </w:r>
    </w:p>
    <w:p w14:paraId="7C061B46">
      <w:pPr>
        <w:pStyle w:val="2"/>
        <w:spacing w:before="237" w:line="274" w:lineRule="auto"/>
        <w:ind w:right="2" w:firstLine="39"/>
        <w:rPr>
          <w:rFonts w:hint="default"/>
          <w:lang w:val="en-US"/>
        </w:rPr>
      </w:pPr>
      <w:r>
        <w:rPr>
          <w:rFonts w:ascii="Times New Roman" w:hAnsi="PingFang SC" w:eastAsia="PingFang SC" w:cs="PingFang SC"/>
          <w:snapToGrid w:val="0"/>
          <w:color w:val="000000"/>
          <w:spacing w:val="-2"/>
          <w:kern w:val="0"/>
          <w:sz w:val="24"/>
          <w:szCs w:val="24"/>
          <w:lang w:val="en-US" w:eastAsia="en-US" w:bidi="ar-SA"/>
        </w:rPr>
        <w:t>(5) Si la superficie de este equipo se ensucia tras un uso prolongado, límpiela suavemente con un paño suave y limpio humedecido en agua. Evite usar disolventes corrosivos u objetos duros para la limpieza, ya que pueden provocar arañazos o daños en la superficie del equipo.</w:t>
      </w:r>
    </w:p>
    <w:p w14:paraId="1D17450C">
      <w:pPr>
        <w:pStyle w:val="2"/>
        <w:spacing w:before="248" w:line="222" w:lineRule="auto"/>
        <w:ind w:left="39"/>
        <w:rPr>
          <w:rFonts w:hint="default"/>
          <w:lang w:val="en-US"/>
        </w:rPr>
      </w:pPr>
      <w:r>
        <w:rPr>
          <w:rFonts w:ascii="Times New Roman" w:hAnsi="PingFang SC" w:eastAsia="PingFang SC" w:cs="PingFang SC"/>
          <w:snapToGrid w:val="0"/>
          <w:color w:val="000000"/>
          <w:spacing w:val="-4"/>
          <w:kern w:val="0"/>
          <w:sz w:val="24"/>
          <w:szCs w:val="24"/>
          <w:lang w:val="en-US" w:eastAsia="en-US" w:bidi="ar-SA"/>
        </w:rPr>
        <w:t>(6) Para garantizar la precisión de la detección, este instrumento debe someterse a una calibración periódica, con un ciclo de verificación que no supere un año.</w:t>
      </w:r>
    </w:p>
    <w:p w14:paraId="2EA64B55">
      <w:pPr>
        <w:pStyle w:val="2"/>
        <w:spacing w:before="220" w:line="286" w:lineRule="auto"/>
        <w:ind w:left="3" w:firstLine="36"/>
        <w:rPr>
          <w:rFonts w:hint="default"/>
          <w:lang w:val="en-US"/>
        </w:rPr>
      </w:pPr>
      <w:r>
        <w:rPr>
          <w:rFonts w:ascii="Times New Roman" w:hAnsi="PingFang SC" w:eastAsia="PingFang SC" w:cs="PingFang SC"/>
          <w:snapToGrid w:val="0"/>
          <w:color w:val="000000"/>
          <w:spacing w:val="-4"/>
          <w:kern w:val="0"/>
          <w:sz w:val="24"/>
          <w:szCs w:val="24"/>
          <w:lang w:val="en-US" w:eastAsia="en-US" w:bidi="ar-SA"/>
        </w:rPr>
        <w:t>(7) Se recomienda que la vida útil de los sensores infrarrojos y los sensores semiconductores sea de 5 años, mientras que la de los sensores catalíticos y los sensores electroquímicos sea de 2 años.</w:t>
      </w:r>
    </w:p>
    <w:p w14:paraId="53982B82">
      <w:pPr>
        <w:pStyle w:val="2"/>
        <w:spacing w:before="207" w:line="278" w:lineRule="auto"/>
        <w:ind w:right="2" w:firstLine="39"/>
        <w:rPr>
          <w:rFonts w:hint="default"/>
          <w:lang w:val="en-US"/>
        </w:rPr>
      </w:pPr>
      <w:r>
        <w:rPr>
          <w:rFonts w:ascii="Times New Roman" w:hAnsi="PingFang SC" w:eastAsia="PingFang SC" w:cs="PingFang SC"/>
          <w:snapToGrid w:val="0"/>
          <w:color w:val="000000"/>
          <w:spacing w:val="-1"/>
          <w:kern w:val="0"/>
          <w:sz w:val="24"/>
          <w:szCs w:val="24"/>
          <w:lang w:val="en-US" w:eastAsia="en-US" w:bidi="ar-SA"/>
        </w:rPr>
        <w:t>(8) Extraiga la batería de litio y los sensores del detector desechado y entréguelos en el lugar designado o devuélvalos a nuestra empresa. No los deseche sin control en los contenedores de basura.</w:t>
      </w:r>
    </w:p>
    <w:p w14:paraId="6DFCB27E">
      <w:pPr>
        <w:pStyle w:val="2"/>
        <w:spacing w:before="238" w:line="228" w:lineRule="auto"/>
        <w:ind w:left="39"/>
        <w:rPr>
          <w:rFonts w:hint="default"/>
          <w:lang w:val="en-US"/>
        </w:rPr>
      </w:pPr>
      <w:r>
        <w:rPr>
          <w:rFonts w:ascii="Times New Roman" w:hAnsi="PingFang SC" w:eastAsia="PingFang SC" w:cs="PingFang SC"/>
          <w:snapToGrid w:val="0"/>
          <w:color w:val="000000"/>
          <w:spacing w:val="-2"/>
          <w:kern w:val="0"/>
          <w:sz w:val="24"/>
          <w:szCs w:val="24"/>
          <w:lang w:val="en-US" w:eastAsia="en-US" w:bidi="ar-SA"/>
        </w:rPr>
        <w:t>(9) Para cualquier aplicación o problema de uso distinto de los descritos en este manual, póngase en contacto con nuestra empresa para obtener asistencia.</w:t>
      </w:r>
    </w:p>
    <w:p w14:paraId="606A060B">
      <w:pPr>
        <w:pStyle w:val="2"/>
        <w:spacing w:before="207" w:line="275" w:lineRule="auto"/>
        <w:ind w:left="1" w:firstLine="37"/>
        <w:rPr>
          <w:rFonts w:hint="default"/>
          <w:lang w:val="en-US"/>
        </w:rPr>
      </w:pPr>
      <w:r>
        <w:rPr>
          <w:rFonts w:ascii="Times New Roman" w:hAnsi="PingFang SC" w:eastAsia="PingFang SC" w:cs="PingFang SC"/>
          <w:snapToGrid w:val="0"/>
          <w:color w:val="000000"/>
          <w:spacing w:val="-2"/>
          <w:kern w:val="0"/>
          <w:sz w:val="24"/>
          <w:szCs w:val="24"/>
          <w:lang w:val="en-US" w:eastAsia="en-US" w:bidi="ar-SA"/>
        </w:rPr>
        <w:t>(10) Los paquetes de baterías no deben desmontarse ni sustituirse, ni cargarse en entornos con gases explosivos. No deben utilizarse dispositivos periféricos enchufables sin certificación antideflagrante, ni deben sustituirse sensores en dichos entornos.</w:t>
      </w:r>
    </w:p>
    <w:p w14:paraId="78C44E3F">
      <w:pPr>
        <w:spacing w:line="275" w:lineRule="auto"/>
        <w:sectPr>
          <w:footerReference r:id="rId13" w:type="default"/>
          <w:pgSz w:w="11850" w:h="16783"/>
          <w:pgMar w:top="1231" w:right="1134" w:bottom="875" w:left="1134" w:header="0" w:footer="685" w:gutter="0"/>
          <w:cols w:space="720" w:num="1"/>
        </w:sectPr>
      </w:pPr>
    </w:p>
    <w:p w14:paraId="22AA0D4B">
      <w:pPr>
        <w:pStyle w:val="2"/>
        <w:spacing w:before="61" w:line="222" w:lineRule="auto"/>
        <w:ind w:left="151"/>
        <w:rPr>
          <w:rFonts w:hint="default"/>
          <w:lang w:val="en-US"/>
        </w:rPr>
      </w:pPr>
      <w:r>
        <w:rPr>
          <w:rFonts w:ascii="Times New Roman" w:hAnsi="PingFang SC" w:eastAsia="PingFang SC" w:cs="PingFang SC"/>
          <w:snapToGrid w:val="0"/>
          <w:color w:val="000000"/>
          <w:spacing w:val="-1"/>
          <w:kern w:val="0"/>
          <w:sz w:val="24"/>
          <w:szCs w:val="24"/>
          <w:lang w:val="en-US" w:eastAsia="en-US" w:bidi="ar-SA"/>
        </w:rPr>
        <w:t>(11) A los productos con certificación antideflagrante no se les deben sustituir ni modificar de forma arbitraria componentes o estructuras que afecten a su rendimiento antideflagrante.</w:t>
      </w:r>
    </w:p>
    <w:p w14:paraId="7628BF03">
      <w:pPr>
        <w:pStyle w:val="2"/>
        <w:spacing w:before="219" w:line="275" w:lineRule="auto"/>
        <w:ind w:left="112" w:right="110" w:firstLine="38"/>
        <w:rPr>
          <w:rFonts w:hint="default"/>
          <w:lang w:val="en-US"/>
        </w:rPr>
      </w:pPr>
      <w:r>
        <w:rPr>
          <w:rFonts w:ascii="Times New Roman" w:hAnsi="PingFang SC" w:eastAsia="PingFang SC" w:cs="PingFang SC"/>
          <w:snapToGrid w:val="0"/>
          <w:color w:val="000000"/>
          <w:spacing w:val="-2"/>
          <w:kern w:val="0"/>
          <w:sz w:val="24"/>
          <w:szCs w:val="24"/>
          <w:lang w:val="en-US" w:eastAsia="en-US" w:bidi="ar-SA"/>
        </w:rPr>
        <w:t>(12) Las normas nacionales pertinentes contienen disposiciones explícitas sobre la selección, la instalación o el uso de equipos eléctricos en entornos con riesgo de explosión. Las entidades instaladoras o usuarias deben cumplir estrictamente estas disposiciones para garantizar la seguridad antideflagrante de los equipos eléctricos en dichas zonas peligrosas.</w:t>
      </w:r>
    </w:p>
    <w:p w14:paraId="1AFC75AB">
      <w:pPr>
        <w:pStyle w:val="2"/>
        <w:spacing w:before="247" w:line="222" w:lineRule="auto"/>
        <w:ind w:left="151"/>
        <w:rPr>
          <w:rFonts w:hint="default"/>
          <w:lang w:val="en-US"/>
        </w:rPr>
      </w:pPr>
      <w:r>
        <w:rPr>
          <w:rFonts w:ascii="Times New Roman" w:hAnsi="PingFang SC" w:eastAsia="PingFang SC" w:cs="PingFang SC"/>
          <w:snapToGrid w:val="0"/>
          <w:color w:val="000000"/>
          <w:spacing w:val="-2"/>
          <w:kern w:val="0"/>
          <w:sz w:val="24"/>
          <w:szCs w:val="24"/>
          <w:lang w:val="en-US" w:eastAsia="en-US" w:bidi="ar-SA"/>
        </w:rPr>
        <w:t>(13) La carga debe realizarse en un lugar seguro y con el cargador profesional suministrado con este dispositivo.</w:t>
      </w:r>
    </w:p>
    <w:p w14:paraId="652028A0">
      <w:pPr>
        <w:pStyle w:val="2"/>
        <w:spacing w:before="174" w:line="190" w:lineRule="auto"/>
        <w:ind w:left="113"/>
        <w:outlineLvl w:val="0"/>
        <w:rPr>
          <w:rFonts w:hint="default"/>
          <w:sz w:val="28"/>
          <w:szCs w:val="28"/>
          <w:lang w:val="en-US"/>
        </w:rPr>
      </w:pPr>
      <w:bookmarkStart w:id="32" w:name="bookmark27"/>
      <w:bookmarkEnd w:id="32"/>
      <w:bookmarkStart w:id="33" w:name="bookmark26"/>
      <w:bookmarkEnd w:id="33"/>
      <w:r>
        <w:rPr>
          <w:rFonts w:ascii="Times New Roman" w:hAnsi="PingFang SC" w:eastAsia="PingFang SC" w:cs="PingFang SC"/>
          <w:b/>
          <w:bCs/>
          <w:snapToGrid w:val="0"/>
          <w:color w:val="000000"/>
          <w:spacing w:val="-6"/>
          <w:kern w:val="0"/>
          <w:sz w:val="28"/>
          <w:szCs w:val="28"/>
          <w:lang w:val="en-US" w:eastAsia="en-US" w:bidi="ar-SA"/>
        </w:rPr>
        <w:t>VI. Fallos comunes y sus soluciones</w:t>
      </w:r>
    </w:p>
    <w:p w14:paraId="47145CCF">
      <w:pPr>
        <w:spacing w:line="59" w:lineRule="exact"/>
      </w:pPr>
    </w:p>
    <w:tbl>
      <w:tblPr>
        <w:tblStyle w:val="5"/>
        <w:tblW w:w="979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568"/>
        <w:gridCol w:w="2682"/>
        <w:gridCol w:w="4548"/>
      </w:tblGrid>
      <w:tr w14:paraId="4743C9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2568" w:type="dxa"/>
            <w:vAlign w:val="top"/>
          </w:tcPr>
          <w:p w14:paraId="78092D7F">
            <w:pPr>
              <w:pStyle w:val="6"/>
              <w:spacing w:before="209" w:line="190" w:lineRule="auto"/>
              <w:ind w:left="804"/>
              <w:rPr>
                <w:rFonts w:hint="default"/>
                <w:lang w:val="en-US"/>
              </w:rPr>
            </w:pPr>
            <w:r>
              <w:rPr>
                <w:rFonts w:ascii="Times New Roman" w:hAnsi="PingFang SC" w:eastAsia="PingFang SC" w:cs="PingFang SC"/>
                <w:snapToGrid w:val="0"/>
                <w:color w:val="000000"/>
                <w:spacing w:val="-1"/>
                <w:kern w:val="0"/>
                <w:sz w:val="24"/>
                <w:szCs w:val="24"/>
                <w:lang w:val="en-US" w:eastAsia="en-US" w:bidi="ar-SA"/>
              </w:rPr>
              <w:t>fenómeno de fallo</w:t>
            </w:r>
          </w:p>
        </w:tc>
        <w:tc>
          <w:tcPr>
            <w:tcW w:w="2682" w:type="dxa"/>
            <w:vAlign w:val="top"/>
          </w:tcPr>
          <w:p w14:paraId="371CB490">
            <w:pPr>
              <w:pStyle w:val="6"/>
              <w:spacing w:before="209" w:line="190" w:lineRule="auto"/>
              <w:ind w:left="622"/>
              <w:rPr>
                <w:rFonts w:hint="default"/>
                <w:lang w:val="en-US"/>
              </w:rPr>
            </w:pPr>
            <w:r>
              <w:rPr>
                <w:rFonts w:ascii="Times New Roman" w:hAnsi="PingFang SC" w:eastAsia="PingFang SC" w:cs="PingFang SC"/>
                <w:snapToGrid w:val="0"/>
                <w:color w:val="000000"/>
                <w:spacing w:val="-1"/>
                <w:kern w:val="0"/>
                <w:sz w:val="24"/>
                <w:szCs w:val="24"/>
                <w:lang w:val="en-US" w:eastAsia="en-US" w:bidi="ar-SA"/>
              </w:rPr>
              <w:t>Posible causa del fallo</w:t>
            </w:r>
          </w:p>
        </w:tc>
        <w:tc>
          <w:tcPr>
            <w:tcW w:w="4548" w:type="dxa"/>
            <w:vAlign w:val="top"/>
          </w:tcPr>
          <w:p w14:paraId="01798757">
            <w:pPr>
              <w:pStyle w:val="6"/>
              <w:spacing w:before="211" w:line="189" w:lineRule="auto"/>
              <w:ind w:left="1792"/>
              <w:rPr>
                <w:rFonts w:hint="default"/>
                <w:lang w:val="en-US"/>
              </w:rPr>
            </w:pPr>
            <w:r>
              <w:rPr>
                <w:rFonts w:ascii="Times New Roman" w:hAnsi="PingFang SC" w:eastAsia="PingFang SC" w:cs="PingFang SC"/>
                <w:snapToGrid w:val="0"/>
                <w:color w:val="000000"/>
                <w:spacing w:val="-1"/>
                <w:kern w:val="0"/>
                <w:sz w:val="24"/>
                <w:szCs w:val="24"/>
                <w:lang w:val="en-US" w:eastAsia="en-US" w:bidi="ar-SA"/>
              </w:rPr>
              <w:t>modo de solución</w:t>
            </w:r>
          </w:p>
        </w:tc>
      </w:tr>
      <w:tr w14:paraId="3559F1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7" w:hRule="atLeast"/>
        </w:trPr>
        <w:tc>
          <w:tcPr>
            <w:tcW w:w="2568" w:type="dxa"/>
            <w:vMerge w:val="restart"/>
            <w:tcBorders>
              <w:bottom w:val="nil"/>
            </w:tcBorders>
            <w:vAlign w:val="top"/>
          </w:tcPr>
          <w:p w14:paraId="3B3661DA">
            <w:pPr>
              <w:spacing w:line="245" w:lineRule="auto"/>
              <w:rPr>
                <w:rFonts w:ascii="Arial"/>
                <w:sz w:val="21"/>
              </w:rPr>
            </w:pPr>
          </w:p>
          <w:p w14:paraId="74643DC9">
            <w:pPr>
              <w:spacing w:line="245" w:lineRule="auto"/>
              <w:rPr>
                <w:rFonts w:ascii="Arial"/>
                <w:sz w:val="21"/>
              </w:rPr>
            </w:pPr>
          </w:p>
          <w:p w14:paraId="689E6B63">
            <w:pPr>
              <w:spacing w:line="246" w:lineRule="auto"/>
              <w:rPr>
                <w:rFonts w:ascii="Arial"/>
                <w:sz w:val="21"/>
              </w:rPr>
            </w:pPr>
          </w:p>
          <w:p w14:paraId="683F0AAD">
            <w:pPr>
              <w:pStyle w:val="6"/>
              <w:spacing w:before="110" w:line="188" w:lineRule="auto"/>
              <w:ind w:left="804"/>
              <w:rPr>
                <w:rFonts w:hint="default"/>
                <w:lang w:val="en-US"/>
              </w:rPr>
            </w:pPr>
            <w:r>
              <w:rPr>
                <w:rFonts w:ascii="Times New Roman" w:hAnsi="PingFang SC" w:eastAsia="PingFang SC" w:cs="PingFang SC"/>
                <w:snapToGrid w:val="0"/>
                <w:color w:val="000000"/>
                <w:spacing w:val="-2"/>
                <w:kern w:val="0"/>
                <w:sz w:val="24"/>
                <w:szCs w:val="24"/>
                <w:lang w:val="en-US" w:eastAsia="en-US" w:bidi="ar-SA"/>
              </w:rPr>
              <w:t>No enciende</w:t>
            </w:r>
          </w:p>
        </w:tc>
        <w:tc>
          <w:tcPr>
            <w:tcW w:w="2682" w:type="dxa"/>
            <w:vAlign w:val="top"/>
          </w:tcPr>
          <w:p w14:paraId="692E083E">
            <w:pPr>
              <w:pStyle w:val="6"/>
              <w:spacing w:before="208" w:line="188" w:lineRule="auto"/>
              <w:ind w:left="873"/>
              <w:rPr>
                <w:rFonts w:hint="default"/>
                <w:lang w:val="en-US"/>
              </w:rPr>
            </w:pPr>
            <w:r>
              <w:rPr>
                <w:rFonts w:ascii="Times New Roman" w:hAnsi="PingFang SC" w:eastAsia="PingFang SC" w:cs="PingFang SC"/>
                <w:snapToGrid w:val="0"/>
                <w:color w:val="000000"/>
                <w:spacing w:val="-4"/>
                <w:kern w:val="0"/>
                <w:sz w:val="24"/>
                <w:szCs w:val="24"/>
                <w:lang w:val="en-US" w:eastAsia="en-US" w:bidi="ar-SA"/>
              </w:rPr>
              <w:t>tensión por debajo del nivel</w:t>
            </w:r>
          </w:p>
        </w:tc>
        <w:tc>
          <w:tcPr>
            <w:tcW w:w="4548" w:type="dxa"/>
            <w:vAlign w:val="top"/>
          </w:tcPr>
          <w:p w14:paraId="4A0EE7DF">
            <w:pPr>
              <w:pStyle w:val="6"/>
              <w:spacing w:before="208" w:line="188" w:lineRule="auto"/>
              <w:ind w:left="1675"/>
              <w:rPr>
                <w:rFonts w:hint="default"/>
                <w:lang w:val="en-US"/>
              </w:rPr>
            </w:pPr>
            <w:r>
              <w:rPr>
                <w:rFonts w:ascii="Times New Roman" w:hAnsi="PingFang SC" w:eastAsia="PingFang SC" w:cs="PingFang SC"/>
                <w:snapToGrid w:val="0"/>
                <w:color w:val="000000"/>
                <w:spacing w:val="-1"/>
                <w:kern w:val="0"/>
                <w:sz w:val="24"/>
                <w:szCs w:val="24"/>
                <w:lang w:val="en-US" w:eastAsia="en-US" w:bidi="ar-SA"/>
              </w:rPr>
              <w:t>Cargue el dispositivo cuanto antes</w:t>
            </w:r>
          </w:p>
        </w:tc>
      </w:tr>
      <w:tr w14:paraId="10214E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7" w:hRule="atLeast"/>
        </w:trPr>
        <w:tc>
          <w:tcPr>
            <w:tcW w:w="2568" w:type="dxa"/>
            <w:vMerge w:val="continue"/>
            <w:tcBorders>
              <w:top w:val="nil"/>
              <w:bottom w:val="nil"/>
            </w:tcBorders>
            <w:vAlign w:val="top"/>
          </w:tcPr>
          <w:p w14:paraId="52D5868B">
            <w:pPr>
              <w:rPr>
                <w:rFonts w:ascii="Arial"/>
                <w:sz w:val="21"/>
              </w:rPr>
            </w:pPr>
          </w:p>
        </w:tc>
        <w:tc>
          <w:tcPr>
            <w:tcW w:w="2682" w:type="dxa"/>
            <w:vAlign w:val="top"/>
          </w:tcPr>
          <w:p w14:paraId="7F666020">
            <w:pPr>
              <w:pStyle w:val="6"/>
              <w:spacing w:before="208" w:line="188" w:lineRule="auto"/>
              <w:ind w:left="1102"/>
              <w:rPr>
                <w:rFonts w:hint="default"/>
                <w:lang w:val="en-US"/>
              </w:rPr>
            </w:pPr>
            <w:r>
              <w:rPr>
                <w:rFonts w:ascii="Times New Roman" w:hAnsi="PingFang SC" w:eastAsia="PingFang SC" w:cs="PingFang SC"/>
                <w:snapToGrid w:val="0"/>
                <w:color w:val="000000"/>
                <w:spacing w:val="-3"/>
                <w:kern w:val="0"/>
                <w:sz w:val="24"/>
                <w:szCs w:val="24"/>
                <w:lang w:val="en-US" w:eastAsia="en-US" w:bidi="ar-SA"/>
              </w:rPr>
              <w:t>sistema bloqueado</w:t>
            </w:r>
          </w:p>
        </w:tc>
        <w:tc>
          <w:tcPr>
            <w:tcW w:w="4548" w:type="dxa"/>
            <w:vAlign w:val="top"/>
          </w:tcPr>
          <w:p w14:paraId="660D7292">
            <w:pPr>
              <w:pStyle w:val="6"/>
              <w:spacing w:before="206" w:line="189" w:lineRule="auto"/>
              <w:ind w:left="835"/>
              <w:rPr>
                <w:rFonts w:hint="default"/>
                <w:lang w:val="en-US"/>
              </w:rPr>
            </w:pPr>
            <w:r>
              <w:rPr>
                <w:rFonts w:ascii="Times New Roman" w:hAnsi="PingFang SC" w:eastAsia="PingFang SC" w:cs="PingFang SC"/>
                <w:snapToGrid w:val="0"/>
                <w:color w:val="000000"/>
                <w:spacing w:val="-1"/>
                <w:kern w:val="0"/>
                <w:sz w:val="24"/>
                <w:szCs w:val="24"/>
                <w:lang w:val="en-US" w:eastAsia="en-US" w:bidi="ar-SA"/>
              </w:rPr>
              <w:t>Póngase en contacto con el distribuidor o el fabricante para la reparación</w:t>
            </w:r>
          </w:p>
        </w:tc>
      </w:tr>
      <w:tr w14:paraId="1E83EB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7" w:hRule="atLeast"/>
        </w:trPr>
        <w:tc>
          <w:tcPr>
            <w:tcW w:w="2568" w:type="dxa"/>
            <w:vMerge w:val="continue"/>
            <w:tcBorders>
              <w:top w:val="nil"/>
            </w:tcBorders>
            <w:vAlign w:val="top"/>
          </w:tcPr>
          <w:p w14:paraId="0EFFE24F">
            <w:pPr>
              <w:rPr>
                <w:rFonts w:ascii="Arial"/>
                <w:sz w:val="21"/>
              </w:rPr>
            </w:pPr>
          </w:p>
        </w:tc>
        <w:tc>
          <w:tcPr>
            <w:tcW w:w="2682" w:type="dxa"/>
            <w:vAlign w:val="top"/>
          </w:tcPr>
          <w:p w14:paraId="2A41140E">
            <w:pPr>
              <w:pStyle w:val="6"/>
              <w:spacing w:before="207" w:line="190" w:lineRule="auto"/>
              <w:ind w:left="873"/>
              <w:rPr>
                <w:rFonts w:hint="default"/>
                <w:lang w:val="en-US"/>
              </w:rPr>
            </w:pPr>
            <w:r>
              <w:rPr>
                <w:rFonts w:ascii="Times New Roman" w:hAnsi="PingFang SC" w:eastAsia="PingFang SC" w:cs="PingFang SC"/>
                <w:snapToGrid w:val="0"/>
                <w:color w:val="000000"/>
                <w:spacing w:val="-4"/>
                <w:kern w:val="0"/>
                <w:sz w:val="24"/>
                <w:szCs w:val="24"/>
                <w:lang w:val="en-US" w:eastAsia="en-US" w:bidi="ar-SA"/>
              </w:rPr>
              <w:t>fallo</w:t>
            </w:r>
          </w:p>
        </w:tc>
        <w:tc>
          <w:tcPr>
            <w:tcW w:w="4548" w:type="dxa"/>
            <w:vAlign w:val="top"/>
          </w:tcPr>
          <w:p w14:paraId="485B77F1">
            <w:pPr>
              <w:pStyle w:val="6"/>
              <w:spacing w:before="207" w:line="189" w:lineRule="auto"/>
              <w:ind w:left="835"/>
              <w:rPr>
                <w:rFonts w:hint="default"/>
                <w:lang w:val="en-US"/>
              </w:rPr>
            </w:pPr>
            <w:r>
              <w:rPr>
                <w:rFonts w:ascii="Times New Roman" w:hAnsi="PingFang SC" w:eastAsia="PingFang SC" w:cs="PingFang SC"/>
                <w:snapToGrid w:val="0"/>
                <w:color w:val="000000"/>
                <w:spacing w:val="-1"/>
                <w:kern w:val="0"/>
                <w:sz w:val="24"/>
                <w:szCs w:val="24"/>
                <w:lang w:val="en-US" w:eastAsia="en-US" w:bidi="ar-SA"/>
              </w:rPr>
              <w:t>Póngase en contacto con el distribuidor o el fabricante para la reparación</w:t>
            </w:r>
          </w:p>
        </w:tc>
      </w:tr>
      <w:tr w14:paraId="09E247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2" w:hRule="atLeast"/>
        </w:trPr>
        <w:tc>
          <w:tcPr>
            <w:tcW w:w="2568" w:type="dxa"/>
            <w:vAlign w:val="top"/>
          </w:tcPr>
          <w:p w14:paraId="69052BB6">
            <w:pPr>
              <w:pStyle w:val="6"/>
              <w:spacing w:before="266" w:line="189" w:lineRule="auto"/>
              <w:ind w:left="323"/>
              <w:rPr>
                <w:rFonts w:hint="default"/>
                <w:lang w:val="en-US"/>
              </w:rPr>
            </w:pPr>
            <w:r>
              <w:rPr>
                <w:rFonts w:ascii="Times New Roman" w:hAnsi="PingFang SC" w:eastAsia="PingFang SC" w:cs="PingFang SC"/>
                <w:snapToGrid w:val="0"/>
                <w:color w:val="000000"/>
                <w:spacing w:val="-1"/>
                <w:kern w:val="0"/>
                <w:sz w:val="24"/>
                <w:szCs w:val="24"/>
                <w:lang w:val="en-US" w:eastAsia="en-US" w:bidi="ar-SA"/>
              </w:rPr>
              <w:t>Sin reacción al gas detectado</w:t>
            </w:r>
          </w:p>
        </w:tc>
        <w:tc>
          <w:tcPr>
            <w:tcW w:w="2682" w:type="dxa"/>
            <w:vAlign w:val="top"/>
          </w:tcPr>
          <w:p w14:paraId="6046DC2F">
            <w:pPr>
              <w:pStyle w:val="6"/>
              <w:spacing w:before="265" w:line="190" w:lineRule="auto"/>
              <w:ind w:left="873"/>
              <w:rPr>
                <w:rFonts w:hint="default"/>
                <w:lang w:val="en-US"/>
              </w:rPr>
            </w:pPr>
            <w:r>
              <w:rPr>
                <w:rFonts w:ascii="Times New Roman" w:hAnsi="PingFang SC" w:eastAsia="PingFang SC" w:cs="PingFang SC"/>
                <w:snapToGrid w:val="0"/>
                <w:color w:val="000000"/>
                <w:spacing w:val="-4"/>
                <w:kern w:val="0"/>
                <w:sz w:val="24"/>
                <w:szCs w:val="24"/>
                <w:lang w:val="en-US" w:eastAsia="en-US" w:bidi="ar-SA"/>
              </w:rPr>
              <w:t>fallo</w:t>
            </w:r>
          </w:p>
        </w:tc>
        <w:tc>
          <w:tcPr>
            <w:tcW w:w="4548" w:type="dxa"/>
            <w:vAlign w:val="top"/>
          </w:tcPr>
          <w:p w14:paraId="52C32BD0">
            <w:pPr>
              <w:pStyle w:val="6"/>
              <w:spacing w:before="266" w:line="189" w:lineRule="auto"/>
              <w:ind w:left="835"/>
              <w:rPr>
                <w:rFonts w:hint="default"/>
                <w:lang w:val="en-US"/>
              </w:rPr>
            </w:pPr>
            <w:r>
              <w:rPr>
                <w:rFonts w:ascii="Times New Roman" w:hAnsi="PingFang SC" w:eastAsia="PingFang SC" w:cs="PingFang SC"/>
                <w:snapToGrid w:val="0"/>
                <w:color w:val="000000"/>
                <w:spacing w:val="-1"/>
                <w:kern w:val="0"/>
                <w:sz w:val="24"/>
                <w:szCs w:val="24"/>
                <w:lang w:val="en-US" w:eastAsia="en-US" w:bidi="ar-SA"/>
              </w:rPr>
              <w:t>Póngase en contacto con el distribuidor o el fabricante para la reparación</w:t>
            </w:r>
          </w:p>
        </w:tc>
      </w:tr>
      <w:tr w14:paraId="673521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2" w:hRule="atLeast"/>
        </w:trPr>
        <w:tc>
          <w:tcPr>
            <w:tcW w:w="2568" w:type="dxa"/>
            <w:vMerge w:val="restart"/>
            <w:tcBorders>
              <w:bottom w:val="nil"/>
            </w:tcBorders>
            <w:vAlign w:val="top"/>
          </w:tcPr>
          <w:p w14:paraId="56D1BD62">
            <w:pPr>
              <w:spacing w:line="475" w:lineRule="auto"/>
              <w:rPr>
                <w:rFonts w:ascii="Arial"/>
                <w:sz w:val="21"/>
              </w:rPr>
            </w:pPr>
          </w:p>
          <w:p w14:paraId="2E92A901">
            <w:pPr>
              <w:pStyle w:val="6"/>
              <w:spacing w:before="109" w:line="189" w:lineRule="auto"/>
              <w:ind w:left="686"/>
              <w:rPr>
                <w:rFonts w:hint="default"/>
                <w:lang w:val="en-US"/>
              </w:rPr>
            </w:pPr>
            <w:r>
              <w:rPr>
                <w:rFonts w:ascii="Times New Roman" w:hAnsi="PingFang SC" w:eastAsia="PingFang SC" w:cs="PingFang SC"/>
                <w:snapToGrid w:val="0"/>
                <w:color w:val="000000"/>
                <w:spacing w:val="-2"/>
                <w:kern w:val="0"/>
                <w:sz w:val="24"/>
                <w:szCs w:val="24"/>
                <w:lang w:val="en-US" w:eastAsia="en-US" w:bidi="ar-SA"/>
              </w:rPr>
              <w:t>La pantalla es inexacta</w:t>
            </w:r>
          </w:p>
        </w:tc>
        <w:tc>
          <w:tcPr>
            <w:tcW w:w="2682" w:type="dxa"/>
            <w:vAlign w:val="top"/>
          </w:tcPr>
          <w:p w14:paraId="7D8E29C9">
            <w:pPr>
              <w:pStyle w:val="6"/>
              <w:spacing w:before="265" w:line="189" w:lineRule="auto"/>
              <w:ind w:left="741"/>
              <w:rPr>
                <w:rFonts w:hint="default"/>
                <w:lang w:val="en-US"/>
              </w:rPr>
            </w:pPr>
            <w:r>
              <w:rPr>
                <w:rFonts w:ascii="Times New Roman" w:hAnsi="PingFang SC" w:eastAsia="PingFang SC" w:cs="PingFang SC"/>
                <w:snapToGrid w:val="0"/>
                <w:color w:val="000000"/>
                <w:spacing w:val="-1"/>
                <w:kern w:val="0"/>
                <w:sz w:val="24"/>
                <w:szCs w:val="24"/>
                <w:lang w:val="en-US" w:eastAsia="en-US" w:bidi="ar-SA"/>
              </w:rPr>
              <w:t>Sensor agotado</w:t>
            </w:r>
          </w:p>
        </w:tc>
        <w:tc>
          <w:tcPr>
            <w:tcW w:w="4548" w:type="dxa"/>
            <w:vAlign w:val="top"/>
          </w:tcPr>
          <w:p w14:paraId="41460678">
            <w:pPr>
              <w:pStyle w:val="6"/>
              <w:spacing w:before="266" w:line="188" w:lineRule="auto"/>
              <w:ind w:left="475"/>
              <w:rPr>
                <w:rFonts w:hint="default"/>
                <w:lang w:val="en-US"/>
              </w:rPr>
            </w:pPr>
            <w:r>
              <w:rPr>
                <w:rFonts w:ascii="Times New Roman" w:hAnsi="PingFang SC" w:eastAsia="PingFang SC" w:cs="PingFang SC"/>
                <w:snapToGrid w:val="0"/>
                <w:color w:val="000000"/>
                <w:spacing w:val="-1"/>
                <w:kern w:val="0"/>
                <w:sz w:val="24"/>
                <w:szCs w:val="24"/>
                <w:lang w:val="en-US" w:eastAsia="en-US" w:bidi="ar-SA"/>
              </w:rPr>
              <w:t>Póngase en contacto con el distribuidor o el fabricante para sustituir el sensor.</w:t>
            </w:r>
          </w:p>
        </w:tc>
      </w:tr>
      <w:tr w14:paraId="2B420A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7" w:hRule="atLeast"/>
        </w:trPr>
        <w:tc>
          <w:tcPr>
            <w:tcW w:w="2568" w:type="dxa"/>
            <w:vMerge w:val="continue"/>
            <w:tcBorders>
              <w:top w:val="nil"/>
            </w:tcBorders>
            <w:vAlign w:val="top"/>
          </w:tcPr>
          <w:p w14:paraId="0B92AE47">
            <w:pPr>
              <w:rPr>
                <w:rFonts w:ascii="Arial"/>
                <w:sz w:val="21"/>
              </w:rPr>
            </w:pPr>
          </w:p>
        </w:tc>
        <w:tc>
          <w:tcPr>
            <w:tcW w:w="2682" w:type="dxa"/>
            <w:vAlign w:val="top"/>
          </w:tcPr>
          <w:p w14:paraId="171E5333">
            <w:pPr>
              <w:pStyle w:val="6"/>
              <w:spacing w:before="210" w:line="189" w:lineRule="auto"/>
              <w:ind w:left="744"/>
              <w:rPr>
                <w:rFonts w:hint="default"/>
                <w:lang w:val="en-US"/>
              </w:rPr>
            </w:pPr>
            <w:r>
              <w:rPr>
                <w:rFonts w:ascii="Times New Roman" w:hAnsi="PingFang SC" w:eastAsia="PingFang SC" w:cs="PingFang SC"/>
                <w:snapToGrid w:val="0"/>
                <w:color w:val="000000"/>
                <w:spacing w:val="-2"/>
                <w:kern w:val="0"/>
                <w:sz w:val="24"/>
                <w:szCs w:val="24"/>
                <w:lang w:val="en-US" w:eastAsia="en-US" w:bidi="ar-SA"/>
              </w:rPr>
              <w:t>Sin calibrar durante mucho tiempo</w:t>
            </w:r>
          </w:p>
        </w:tc>
        <w:tc>
          <w:tcPr>
            <w:tcW w:w="4548" w:type="dxa"/>
            <w:vAlign w:val="top"/>
          </w:tcPr>
          <w:p w14:paraId="6882B00D">
            <w:pPr>
              <w:pStyle w:val="6"/>
              <w:spacing w:before="210" w:line="188" w:lineRule="auto"/>
              <w:ind w:left="1675"/>
              <w:rPr>
                <w:rFonts w:hint="default"/>
                <w:lang w:val="en-US"/>
              </w:rPr>
            </w:pPr>
            <w:r>
              <w:rPr>
                <w:rFonts w:ascii="Times New Roman" w:hAnsi="PingFang SC" w:eastAsia="PingFang SC" w:cs="PingFang SC"/>
                <w:snapToGrid w:val="0"/>
                <w:color w:val="000000"/>
                <w:spacing w:val="-1"/>
                <w:kern w:val="0"/>
                <w:sz w:val="24"/>
                <w:szCs w:val="24"/>
                <w:lang w:val="en-US" w:eastAsia="en-US" w:bidi="ar-SA"/>
              </w:rPr>
              <w:t>Calibre cuanto antes</w:t>
            </w:r>
          </w:p>
        </w:tc>
      </w:tr>
      <w:tr w14:paraId="2BCCFA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3" w:hRule="atLeast"/>
        </w:trPr>
        <w:tc>
          <w:tcPr>
            <w:tcW w:w="2568" w:type="dxa"/>
            <w:vMerge w:val="restart"/>
            <w:tcBorders>
              <w:bottom w:val="nil"/>
            </w:tcBorders>
            <w:vAlign w:val="top"/>
          </w:tcPr>
          <w:p w14:paraId="021F34D7">
            <w:pPr>
              <w:spacing w:line="478" w:lineRule="auto"/>
              <w:rPr>
                <w:rFonts w:ascii="Arial"/>
                <w:sz w:val="21"/>
              </w:rPr>
            </w:pPr>
          </w:p>
          <w:p w14:paraId="21BB8F99">
            <w:pPr>
              <w:pStyle w:val="6"/>
              <w:spacing w:before="109" w:line="188" w:lineRule="auto"/>
              <w:ind w:left="573"/>
              <w:rPr>
                <w:rFonts w:hint="default"/>
                <w:lang w:val="en-US"/>
              </w:rPr>
            </w:pPr>
            <w:r>
              <w:rPr>
                <w:rFonts w:ascii="Times New Roman" w:hAnsi="PingFang SC" w:eastAsia="PingFang SC" w:cs="PingFang SC"/>
                <w:snapToGrid w:val="0"/>
                <w:color w:val="000000"/>
                <w:spacing w:val="-3"/>
                <w:kern w:val="0"/>
                <w:sz w:val="24"/>
                <w:szCs w:val="24"/>
                <w:lang w:val="en-US" w:eastAsia="en-US" w:bidi="ar-SA"/>
              </w:rPr>
              <w:t>Error de visualización de la hora</w:t>
            </w:r>
          </w:p>
        </w:tc>
        <w:tc>
          <w:tcPr>
            <w:tcW w:w="2682" w:type="dxa"/>
            <w:vAlign w:val="top"/>
          </w:tcPr>
          <w:p w14:paraId="059A97F6">
            <w:pPr>
              <w:pStyle w:val="6"/>
              <w:spacing w:before="268" w:line="188" w:lineRule="auto"/>
              <w:ind w:left="393"/>
              <w:rPr>
                <w:rFonts w:hint="default"/>
                <w:lang w:val="en-US"/>
              </w:rPr>
            </w:pPr>
            <w:r>
              <w:rPr>
                <w:rFonts w:ascii="Times New Roman" w:hAnsi="PingFang SC" w:eastAsia="PingFang SC" w:cs="PingFang SC"/>
                <w:snapToGrid w:val="0"/>
                <w:color w:val="000000"/>
                <w:spacing w:val="-2"/>
                <w:kern w:val="0"/>
                <w:sz w:val="24"/>
                <w:szCs w:val="24"/>
                <w:lang w:val="en-US" w:eastAsia="en-US" w:bidi="ar-SA"/>
              </w:rPr>
              <w:t>La batería está completamente agotada</w:t>
            </w:r>
          </w:p>
        </w:tc>
        <w:tc>
          <w:tcPr>
            <w:tcW w:w="4548" w:type="dxa"/>
            <w:vAlign w:val="top"/>
          </w:tcPr>
          <w:p w14:paraId="3B29017C">
            <w:pPr>
              <w:pStyle w:val="6"/>
              <w:spacing w:before="269" w:line="188" w:lineRule="auto"/>
              <w:ind w:left="954"/>
              <w:rPr>
                <w:rFonts w:hint="default"/>
                <w:lang w:val="en-US"/>
              </w:rPr>
            </w:pPr>
            <w:r>
              <w:rPr>
                <w:rFonts w:ascii="Times New Roman" w:hAnsi="PingFang SC" w:eastAsia="PingFang SC" w:cs="PingFang SC"/>
                <w:snapToGrid w:val="0"/>
                <w:color w:val="000000"/>
                <w:spacing w:val="-1"/>
                <w:kern w:val="0"/>
                <w:sz w:val="24"/>
                <w:szCs w:val="24"/>
                <w:lang w:val="en-US" w:eastAsia="en-US" w:bidi="ar-SA"/>
              </w:rPr>
              <w:t>Cargue cuanto antes y restablezca la hora</w:t>
            </w:r>
          </w:p>
        </w:tc>
      </w:tr>
      <w:tr w14:paraId="34990C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7" w:hRule="atLeast"/>
        </w:trPr>
        <w:tc>
          <w:tcPr>
            <w:tcW w:w="2568" w:type="dxa"/>
            <w:vMerge w:val="continue"/>
            <w:tcBorders>
              <w:top w:val="nil"/>
            </w:tcBorders>
            <w:vAlign w:val="top"/>
          </w:tcPr>
          <w:p w14:paraId="170C49D0">
            <w:pPr>
              <w:rPr>
                <w:rFonts w:ascii="Arial"/>
                <w:sz w:val="21"/>
              </w:rPr>
            </w:pPr>
          </w:p>
        </w:tc>
        <w:tc>
          <w:tcPr>
            <w:tcW w:w="2682" w:type="dxa"/>
            <w:vAlign w:val="top"/>
          </w:tcPr>
          <w:p w14:paraId="51B36BBE">
            <w:pPr>
              <w:pStyle w:val="6"/>
              <w:spacing w:before="208" w:line="189" w:lineRule="auto"/>
              <w:ind w:left="746"/>
              <w:rPr>
                <w:rFonts w:hint="default"/>
                <w:lang w:val="en-US"/>
              </w:rPr>
            </w:pPr>
            <w:r>
              <w:rPr>
                <w:rFonts w:ascii="Times New Roman" w:hAnsi="PingFang SC" w:eastAsia="PingFang SC" w:cs="PingFang SC"/>
                <w:snapToGrid w:val="0"/>
                <w:color w:val="000000"/>
                <w:spacing w:val="-2"/>
                <w:kern w:val="0"/>
                <w:sz w:val="24"/>
                <w:szCs w:val="24"/>
                <w:lang w:val="en-US" w:eastAsia="en-US" w:bidi="ar-SA"/>
              </w:rPr>
              <w:t>interferencia electromagnética intensa</w:t>
            </w:r>
          </w:p>
        </w:tc>
        <w:tc>
          <w:tcPr>
            <w:tcW w:w="4548" w:type="dxa"/>
            <w:vAlign w:val="top"/>
          </w:tcPr>
          <w:p w14:paraId="5BC20F64">
            <w:pPr>
              <w:pStyle w:val="6"/>
              <w:spacing w:before="208" w:line="189" w:lineRule="auto"/>
              <w:ind w:left="1554"/>
              <w:rPr>
                <w:rFonts w:hint="default"/>
                <w:lang w:val="en-US"/>
              </w:rPr>
            </w:pPr>
            <w:r>
              <w:rPr>
                <w:rFonts w:ascii="Times New Roman" w:hAnsi="PingFang SC" w:eastAsia="PingFang SC" w:cs="PingFang SC"/>
                <w:snapToGrid w:val="0"/>
                <w:color w:val="000000"/>
                <w:spacing w:val="-1"/>
                <w:kern w:val="0"/>
                <w:sz w:val="24"/>
                <w:szCs w:val="24"/>
                <w:lang w:val="en-US" w:eastAsia="en-US" w:bidi="ar-SA"/>
              </w:rPr>
              <w:t>Restablecer la hora</w:t>
            </w:r>
          </w:p>
        </w:tc>
      </w:tr>
      <w:tr w14:paraId="1B5416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4" w:hRule="atLeast"/>
        </w:trPr>
        <w:tc>
          <w:tcPr>
            <w:tcW w:w="2568" w:type="dxa"/>
            <w:vAlign w:val="top"/>
          </w:tcPr>
          <w:p w14:paraId="57A62775">
            <w:pPr>
              <w:pStyle w:val="6"/>
              <w:spacing w:before="287" w:line="190" w:lineRule="auto"/>
              <w:ind w:left="202"/>
              <w:rPr>
                <w:rFonts w:hint="default"/>
                <w:lang w:val="en-US"/>
              </w:rPr>
            </w:pPr>
            <w:r>
              <w:rPr>
                <w:rFonts w:ascii="Times New Roman" w:hAnsi="PingFang SC" w:eastAsia="PingFang SC" w:cs="PingFang SC"/>
                <w:snapToGrid w:val="0"/>
                <w:color w:val="000000"/>
                <w:spacing w:val="-1"/>
                <w:kern w:val="0"/>
                <w:sz w:val="24"/>
                <w:szCs w:val="24"/>
                <w:lang w:val="en-US" w:eastAsia="en-US" w:bidi="ar-SA"/>
              </w:rPr>
              <w:t>La calibración a cero no está disponible</w:t>
            </w:r>
          </w:p>
        </w:tc>
        <w:tc>
          <w:tcPr>
            <w:tcW w:w="2682" w:type="dxa"/>
            <w:vAlign w:val="top"/>
          </w:tcPr>
          <w:p w14:paraId="57F37C82">
            <w:pPr>
              <w:pStyle w:val="6"/>
              <w:spacing w:before="289" w:line="189" w:lineRule="auto"/>
              <w:ind w:left="501"/>
              <w:rPr>
                <w:rFonts w:hint="default"/>
                <w:lang w:val="en-US"/>
              </w:rPr>
            </w:pPr>
            <w:r>
              <w:rPr>
                <w:rFonts w:ascii="Times New Roman" w:hAnsi="PingFang SC" w:eastAsia="PingFang SC" w:cs="PingFang SC"/>
                <w:snapToGrid w:val="0"/>
                <w:color w:val="000000"/>
                <w:spacing w:val="-1"/>
                <w:kern w:val="0"/>
                <w:sz w:val="24"/>
                <w:szCs w:val="24"/>
                <w:lang w:val="en-US" w:eastAsia="en-US" w:bidi="ar-SA"/>
              </w:rPr>
              <w:t>Deriva excesiva del sensor</w:t>
            </w:r>
          </w:p>
        </w:tc>
        <w:tc>
          <w:tcPr>
            <w:tcW w:w="4548" w:type="dxa"/>
            <w:vAlign w:val="top"/>
          </w:tcPr>
          <w:p w14:paraId="02ED13C0">
            <w:pPr>
              <w:pStyle w:val="6"/>
              <w:spacing w:before="289" w:line="188" w:lineRule="auto"/>
              <w:ind w:left="1074"/>
              <w:rPr>
                <w:rFonts w:hint="default"/>
                <w:lang w:val="en-US"/>
              </w:rPr>
            </w:pPr>
            <w:r>
              <w:rPr>
                <w:rFonts w:ascii="Times New Roman" w:hAnsi="PingFang SC" w:eastAsia="PingFang SC" w:cs="PingFang SC"/>
                <w:snapToGrid w:val="0"/>
                <w:color w:val="000000"/>
                <w:spacing w:val="-1"/>
                <w:kern w:val="0"/>
                <w:sz w:val="24"/>
                <w:szCs w:val="24"/>
                <w:lang w:val="en-US" w:eastAsia="en-US" w:bidi="ar-SA"/>
              </w:rPr>
              <w:t>Calibre o sustituya el sensor cuanto antes</w:t>
            </w:r>
          </w:p>
        </w:tc>
      </w:tr>
      <w:tr w14:paraId="43296E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2568" w:type="dxa"/>
            <w:vAlign w:val="top"/>
          </w:tcPr>
          <w:p w14:paraId="1FE2D238">
            <w:pPr>
              <w:pStyle w:val="6"/>
              <w:spacing w:before="208" w:line="284" w:lineRule="auto"/>
              <w:ind w:left="803" w:right="202" w:hanging="600"/>
              <w:rPr>
                <w:rFonts w:hint="default"/>
                <w:lang w:val="en-US"/>
              </w:rPr>
            </w:pPr>
            <w:r>
              <w:rPr>
                <w:rFonts w:ascii="Times New Roman" w:hAnsi="PingFang SC" w:eastAsia="PingFang SC" w:cs="PingFang SC"/>
                <w:snapToGrid w:val="0"/>
                <w:color w:val="000000"/>
                <w:spacing w:val="-1"/>
                <w:kern w:val="0"/>
                <w:sz w:val="24"/>
                <w:szCs w:val="24"/>
                <w:lang w:val="en-US" w:eastAsia="en-US" w:bidi="ar-SA"/>
              </w:rPr>
              <w:t>La visualización de la interfaz de detección normal del instrumento es inexacta.</w:t>
            </w:r>
          </w:p>
        </w:tc>
        <w:tc>
          <w:tcPr>
            <w:tcW w:w="2682" w:type="dxa"/>
            <w:vAlign w:val="top"/>
          </w:tcPr>
          <w:p w14:paraId="62285871">
            <w:pPr>
              <w:spacing w:line="408" w:lineRule="auto"/>
              <w:rPr>
                <w:rFonts w:ascii="Arial"/>
                <w:sz w:val="21"/>
              </w:rPr>
            </w:pPr>
          </w:p>
          <w:p w14:paraId="0188ECE9">
            <w:pPr>
              <w:pStyle w:val="6"/>
              <w:spacing w:before="109" w:line="189" w:lineRule="auto"/>
              <w:ind w:left="741"/>
              <w:rPr>
                <w:rFonts w:hint="default"/>
                <w:lang w:val="en-US"/>
              </w:rPr>
            </w:pPr>
            <w:r>
              <w:rPr>
                <w:rFonts w:ascii="Times New Roman" w:hAnsi="PingFang SC" w:eastAsia="PingFang SC" w:cs="PingFang SC"/>
                <w:snapToGrid w:val="0"/>
                <w:color w:val="000000"/>
                <w:spacing w:val="-1"/>
                <w:kern w:val="0"/>
                <w:sz w:val="24"/>
                <w:szCs w:val="24"/>
                <w:lang w:val="en-US" w:eastAsia="en-US" w:bidi="ar-SA"/>
              </w:rPr>
              <w:t>Deriva del sensor</w:t>
            </w:r>
          </w:p>
        </w:tc>
        <w:tc>
          <w:tcPr>
            <w:tcW w:w="4548" w:type="dxa"/>
            <w:vAlign w:val="top"/>
          </w:tcPr>
          <w:p w14:paraId="14BD7F85">
            <w:pPr>
              <w:spacing w:line="407" w:lineRule="auto"/>
              <w:rPr>
                <w:rFonts w:ascii="Arial"/>
                <w:sz w:val="21"/>
              </w:rPr>
            </w:pPr>
          </w:p>
          <w:p w14:paraId="725A599D">
            <w:pPr>
              <w:pStyle w:val="6"/>
              <w:spacing w:before="109" w:line="189" w:lineRule="auto"/>
              <w:ind w:left="1553"/>
              <w:rPr>
                <w:rFonts w:hint="default"/>
                <w:lang w:val="en-US"/>
              </w:rPr>
            </w:pPr>
            <w:r>
              <w:rPr>
                <w:rFonts w:ascii="Times New Roman" w:hAnsi="PingFang SC" w:eastAsia="PingFang SC" w:cs="PingFang SC"/>
                <w:snapToGrid w:val="0"/>
                <w:color w:val="000000"/>
                <w:spacing w:val="-1"/>
                <w:kern w:val="0"/>
                <w:sz w:val="24"/>
                <w:szCs w:val="24"/>
                <w:lang w:val="en-US" w:eastAsia="en-US" w:bidi="ar-SA"/>
              </w:rPr>
              <w:t>Realice la calibración a cero</w:t>
            </w:r>
          </w:p>
        </w:tc>
      </w:tr>
      <w:tr w14:paraId="03D263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7" w:hRule="atLeast"/>
        </w:trPr>
        <w:tc>
          <w:tcPr>
            <w:tcW w:w="2568" w:type="dxa"/>
            <w:vAlign w:val="top"/>
          </w:tcPr>
          <w:p w14:paraId="1E068EC2">
            <w:pPr>
              <w:pStyle w:val="6"/>
              <w:spacing w:before="209" w:line="285" w:lineRule="auto"/>
              <w:ind w:left="685" w:right="202" w:hanging="472"/>
              <w:rPr>
                <w:rFonts w:hint="default"/>
                <w:lang w:val="en-US"/>
              </w:rPr>
            </w:pPr>
            <w:r>
              <w:rPr>
                <w:rFonts w:ascii="Times New Roman" w:hAnsi="PingFang SC" w:eastAsia="PingFang SC" w:cs="PingFang SC"/>
                <w:snapToGrid w:val="0"/>
                <w:color w:val="000000"/>
                <w:spacing w:val="-2"/>
                <w:kern w:val="0"/>
                <w:sz w:val="24"/>
                <w:szCs w:val="24"/>
                <w:lang w:val="en-US" w:eastAsia="en-US" w:bidi="ar-SA"/>
              </w:rPr>
              <w:t>Cuando el instrumento muestra fondo de escala en la interfaz de detección normal</w:t>
            </w:r>
          </w:p>
        </w:tc>
        <w:tc>
          <w:tcPr>
            <w:tcW w:w="2682" w:type="dxa"/>
            <w:vAlign w:val="top"/>
          </w:tcPr>
          <w:p w14:paraId="69FCF790">
            <w:pPr>
              <w:spacing w:line="406" w:lineRule="auto"/>
              <w:rPr>
                <w:rFonts w:ascii="Arial"/>
                <w:sz w:val="21"/>
              </w:rPr>
            </w:pPr>
          </w:p>
          <w:p w14:paraId="31F04440">
            <w:pPr>
              <w:pStyle w:val="6"/>
              <w:spacing w:before="109" w:line="190" w:lineRule="auto"/>
              <w:ind w:left="741"/>
              <w:rPr>
                <w:rFonts w:hint="default"/>
                <w:lang w:val="en-US"/>
              </w:rPr>
            </w:pPr>
            <w:r>
              <w:rPr>
                <w:rFonts w:ascii="Times New Roman" w:hAnsi="PingFang SC" w:eastAsia="PingFang SC" w:cs="PingFang SC"/>
                <w:snapToGrid w:val="0"/>
                <w:color w:val="000000"/>
                <w:spacing w:val="-1"/>
                <w:kern w:val="0"/>
                <w:sz w:val="24"/>
                <w:szCs w:val="24"/>
                <w:lang w:val="en-US" w:eastAsia="en-US" w:bidi="ar-SA"/>
              </w:rPr>
              <w:t>Fallo del sensor</w:t>
            </w:r>
          </w:p>
        </w:tc>
        <w:tc>
          <w:tcPr>
            <w:tcW w:w="4548" w:type="dxa"/>
            <w:vAlign w:val="top"/>
          </w:tcPr>
          <w:p w14:paraId="07D36EF7">
            <w:pPr>
              <w:spacing w:line="408" w:lineRule="auto"/>
              <w:rPr>
                <w:rFonts w:ascii="Arial"/>
                <w:sz w:val="21"/>
              </w:rPr>
            </w:pPr>
          </w:p>
          <w:p w14:paraId="3DC8B5E4">
            <w:pPr>
              <w:pStyle w:val="6"/>
              <w:spacing w:before="110" w:line="188" w:lineRule="auto"/>
              <w:ind w:left="475"/>
              <w:rPr>
                <w:rFonts w:hint="default"/>
                <w:lang w:val="en-US"/>
              </w:rPr>
            </w:pPr>
            <w:r>
              <w:rPr>
                <w:rFonts w:ascii="Times New Roman" w:hAnsi="PingFang SC" w:eastAsia="PingFang SC" w:cs="PingFang SC"/>
                <w:snapToGrid w:val="0"/>
                <w:color w:val="000000"/>
                <w:spacing w:val="-1"/>
                <w:kern w:val="0"/>
                <w:sz w:val="24"/>
                <w:szCs w:val="24"/>
                <w:lang w:val="en-US" w:eastAsia="en-US" w:bidi="ar-SA"/>
              </w:rPr>
              <w:t>Póngase en contacto con el distribuidor o el fabricante para sustituir el sensor.</w:t>
            </w:r>
          </w:p>
        </w:tc>
      </w:tr>
    </w:tbl>
    <w:p w14:paraId="7C2E96AD">
      <w:pPr>
        <w:rPr>
          <w:rFonts w:ascii="Arial"/>
          <w:sz w:val="21"/>
        </w:rPr>
      </w:pPr>
    </w:p>
    <w:p w14:paraId="15717963">
      <w:pPr>
        <w:rPr>
          <w:rFonts w:ascii="Arial" w:hAnsi="Arial" w:eastAsia="Arial" w:cs="Arial"/>
          <w:sz w:val="21"/>
          <w:szCs w:val="21"/>
        </w:rPr>
        <w:sectPr>
          <w:footerReference r:id="rId14" w:type="default"/>
          <w:pgSz w:w="11850" w:h="16783"/>
          <w:pgMar w:top="1231" w:right="1023" w:bottom="875" w:left="1023" w:header="0" w:footer="685" w:gutter="0"/>
          <w:cols w:space="720" w:num="1"/>
        </w:sectPr>
      </w:pPr>
    </w:p>
    <w:p w14:paraId="4A36F688">
      <w:pPr>
        <w:pStyle w:val="2"/>
        <w:spacing w:before="54" w:line="189" w:lineRule="auto"/>
        <w:ind w:left="4"/>
        <w:outlineLvl w:val="0"/>
        <w:rPr>
          <w:rFonts w:hint="default"/>
          <w:sz w:val="28"/>
          <w:szCs w:val="28"/>
          <w:lang w:val="en-US"/>
        </w:rPr>
      </w:pPr>
      <w:bookmarkStart w:id="34" w:name="bookmark29"/>
      <w:bookmarkEnd w:id="34"/>
      <w:bookmarkStart w:id="35" w:name="bookmark28"/>
      <w:bookmarkEnd w:id="35"/>
      <w:r>
        <w:rPr>
          <w:rFonts w:ascii="Times New Roman" w:hAnsi="PingFang SC" w:eastAsia="PingFang SC" w:cs="PingFang SC"/>
          <w:b/>
          <w:bCs/>
          <w:snapToGrid w:val="0"/>
          <w:color w:val="000000"/>
          <w:spacing w:val="-5"/>
          <w:kern w:val="0"/>
          <w:sz w:val="28"/>
          <w:szCs w:val="28"/>
          <w:lang w:val="en-US" w:eastAsia="en-US" w:bidi="ar-SA"/>
        </w:rPr>
        <w:t>VII. Almacenamiento</w:t>
      </w:r>
    </w:p>
    <w:p w14:paraId="6459A11B">
      <w:pPr>
        <w:pStyle w:val="2"/>
        <w:spacing w:before="197" w:line="345" w:lineRule="auto"/>
        <w:ind w:left="3" w:right="69" w:firstLine="438"/>
        <w:rPr>
          <w:rFonts w:hint="default"/>
          <w:lang w:val="en-US"/>
        </w:rPr>
      </w:pPr>
      <w:r>
        <w:rPr>
          <w:rFonts w:ascii="Times New Roman" w:hAnsi="PingFang SC" w:eastAsia="PingFang SC" w:cs="PingFang SC"/>
          <w:snapToGrid w:val="0"/>
          <w:color w:val="000000"/>
          <w:spacing w:val="-2"/>
          <w:kern w:val="0"/>
          <w:sz w:val="24"/>
          <w:szCs w:val="24"/>
          <w:lang w:val="en-US" w:eastAsia="en-US" w:bidi="ar-SA"/>
        </w:rPr>
        <w:t>Los dispositivos portátiles de detección y alarma de gas deben almacenarse en una sala ventilada con una temperatura ambiente de -20°C a 60°C y una humedad relativa no superior al 93%, y el aire debe estar libre de gases nocivos o impurezas que puedan corroer los dispositivos.</w:t>
      </w:r>
    </w:p>
    <w:p w14:paraId="2900055C">
      <w:pPr>
        <w:spacing w:line="256" w:lineRule="auto"/>
        <w:rPr>
          <w:rFonts w:ascii="Arial"/>
          <w:sz w:val="21"/>
        </w:rPr>
      </w:pPr>
    </w:p>
    <w:p w14:paraId="4E4F19A8">
      <w:pPr>
        <w:spacing w:line="256" w:lineRule="auto"/>
        <w:rPr>
          <w:rFonts w:ascii="Arial"/>
          <w:sz w:val="21"/>
        </w:rPr>
      </w:pPr>
    </w:p>
    <w:p w14:paraId="4E9B88F5">
      <w:pPr>
        <w:pStyle w:val="2"/>
        <w:spacing w:before="128" w:line="188" w:lineRule="auto"/>
        <w:outlineLvl w:val="0"/>
        <w:rPr>
          <w:rFonts w:hint="default"/>
          <w:sz w:val="28"/>
          <w:szCs w:val="28"/>
          <w:lang w:val="en-US"/>
        </w:rPr>
      </w:pPr>
      <w:bookmarkStart w:id="36" w:name="bookmark30"/>
      <w:bookmarkEnd w:id="36"/>
      <w:bookmarkStart w:id="37" w:name="bookmark31"/>
      <w:bookmarkEnd w:id="37"/>
      <w:r>
        <w:rPr>
          <w:rFonts w:ascii="Times New Roman" w:hAnsi="PingFang SC" w:eastAsia="PingFang SC" w:cs="PingFang SC"/>
          <w:b/>
          <w:bCs/>
          <w:snapToGrid w:val="0"/>
          <w:color w:val="000000"/>
          <w:spacing w:val="-8"/>
          <w:kern w:val="0"/>
          <w:sz w:val="28"/>
          <w:szCs w:val="28"/>
          <w:lang w:val="en-US" w:eastAsia="en-US" w:bidi="ar-SA"/>
        </w:rPr>
        <w:t>VIII. Accesorios</w:t>
      </w:r>
    </w:p>
    <w:p w14:paraId="1C898EF7">
      <w:pPr>
        <w:pStyle w:val="2"/>
        <w:spacing w:before="240" w:line="361" w:lineRule="auto"/>
        <w:ind w:left="1" w:firstLine="484"/>
        <w:rPr>
          <w:rFonts w:hint="default"/>
          <w:lang w:val="en-US"/>
        </w:rPr>
      </w:pPr>
      <w:r>
        <w:rPr>
          <w:rFonts w:ascii="Times New Roman" w:hAnsi="PingFang SC" w:eastAsia="PingFang SC" w:cs="PingFang SC"/>
          <w:snapToGrid w:val="0"/>
          <w:color w:val="000000"/>
          <w:spacing w:val="-1"/>
          <w:kern w:val="0"/>
          <w:sz w:val="24"/>
          <w:szCs w:val="24"/>
          <w:lang w:val="en-US" w:eastAsia="en-US" w:bidi="ar-SA"/>
        </w:rPr>
        <w:t>El detector de gas portátil con alarma suministrado incluye un detector de gas portátil con alarma, un cargador, un manual de instrucciones y una tarjeta de garantía con certificado de conformidad.</w:t>
      </w:r>
    </w:p>
    <w:p w14:paraId="41479022">
      <w:pPr>
        <w:spacing w:line="361" w:lineRule="auto"/>
        <w:sectPr>
          <w:footerReference r:id="rId15" w:type="default"/>
          <w:pgSz w:w="11850" w:h="16783"/>
          <w:pgMar w:top="1264" w:right="1066" w:bottom="875" w:left="1133" w:header="0" w:footer="685" w:gutter="0"/>
          <w:cols w:space="720" w:num="1"/>
        </w:sectPr>
      </w:pPr>
    </w:p>
    <w:p w14:paraId="5DE6B9BB">
      <w:pPr>
        <w:spacing w:line="242" w:lineRule="auto"/>
        <w:rPr>
          <w:rFonts w:ascii="Arial"/>
          <w:sz w:val="21"/>
        </w:rPr>
      </w:pPr>
    </w:p>
    <w:p w14:paraId="18F3E6B2">
      <w:pPr>
        <w:spacing w:line="242" w:lineRule="auto"/>
        <w:rPr>
          <w:rFonts w:ascii="Arial"/>
          <w:sz w:val="21"/>
        </w:rPr>
      </w:pPr>
    </w:p>
    <w:p w14:paraId="646FEA16">
      <w:pPr>
        <w:spacing w:line="242" w:lineRule="auto"/>
        <w:rPr>
          <w:rFonts w:ascii="Arial"/>
          <w:sz w:val="21"/>
        </w:rPr>
      </w:pPr>
    </w:p>
    <w:p w14:paraId="65C32EF1">
      <w:pPr>
        <w:spacing w:line="242" w:lineRule="auto"/>
        <w:rPr>
          <w:rFonts w:ascii="Arial"/>
          <w:sz w:val="21"/>
        </w:rPr>
      </w:pPr>
    </w:p>
    <w:p w14:paraId="32F6838B">
      <w:pPr>
        <w:spacing w:line="242" w:lineRule="auto"/>
        <w:rPr>
          <w:rFonts w:ascii="Arial"/>
          <w:sz w:val="21"/>
        </w:rPr>
      </w:pPr>
    </w:p>
    <w:p w14:paraId="53B64A62">
      <w:pPr>
        <w:spacing w:line="242" w:lineRule="auto"/>
        <w:rPr>
          <w:rFonts w:ascii="Arial"/>
          <w:sz w:val="21"/>
        </w:rPr>
      </w:pPr>
    </w:p>
    <w:p w14:paraId="4322CEB2">
      <w:pPr>
        <w:spacing w:line="242" w:lineRule="auto"/>
        <w:rPr>
          <w:rFonts w:ascii="Arial"/>
          <w:sz w:val="21"/>
        </w:rPr>
      </w:pPr>
    </w:p>
    <w:p w14:paraId="201EC50E">
      <w:pPr>
        <w:spacing w:line="242" w:lineRule="auto"/>
        <w:rPr>
          <w:rFonts w:ascii="Arial"/>
          <w:sz w:val="21"/>
        </w:rPr>
      </w:pPr>
    </w:p>
    <w:p w14:paraId="1BC5F0EF">
      <w:pPr>
        <w:spacing w:line="242" w:lineRule="auto"/>
        <w:rPr>
          <w:rFonts w:ascii="Arial"/>
          <w:sz w:val="21"/>
        </w:rPr>
      </w:pPr>
    </w:p>
    <w:p w14:paraId="547E5BC9">
      <w:pPr>
        <w:spacing w:line="242" w:lineRule="auto"/>
        <w:rPr>
          <w:rFonts w:ascii="Arial"/>
          <w:sz w:val="21"/>
        </w:rPr>
      </w:pPr>
    </w:p>
    <w:p w14:paraId="470D55E8">
      <w:pPr>
        <w:spacing w:line="242" w:lineRule="auto"/>
        <w:rPr>
          <w:rFonts w:ascii="Arial"/>
          <w:sz w:val="21"/>
        </w:rPr>
      </w:pPr>
    </w:p>
    <w:p w14:paraId="77AA5785">
      <w:pPr>
        <w:spacing w:line="243" w:lineRule="auto"/>
        <w:rPr>
          <w:rFonts w:ascii="Arial"/>
          <w:sz w:val="21"/>
        </w:rPr>
      </w:pPr>
    </w:p>
    <w:p w14:paraId="050EEACD">
      <w:pPr>
        <w:spacing w:line="243" w:lineRule="auto"/>
        <w:rPr>
          <w:rFonts w:ascii="Arial"/>
          <w:sz w:val="21"/>
        </w:rPr>
      </w:pPr>
    </w:p>
    <w:p w14:paraId="5E6B5A8A">
      <w:pPr>
        <w:spacing w:line="243" w:lineRule="auto"/>
        <w:rPr>
          <w:rFonts w:ascii="Arial"/>
          <w:sz w:val="21"/>
        </w:rPr>
      </w:pPr>
    </w:p>
    <w:p w14:paraId="1ADA7A07">
      <w:pPr>
        <w:spacing w:line="243" w:lineRule="auto"/>
        <w:rPr>
          <w:rFonts w:ascii="Arial"/>
          <w:sz w:val="21"/>
        </w:rPr>
      </w:pPr>
    </w:p>
    <w:p w14:paraId="723CD2FA">
      <w:pPr>
        <w:spacing w:line="243" w:lineRule="auto"/>
        <w:rPr>
          <w:rFonts w:ascii="Arial"/>
          <w:sz w:val="21"/>
        </w:rPr>
      </w:pPr>
    </w:p>
    <w:p w14:paraId="579D55EF">
      <w:pPr>
        <w:spacing w:line="243" w:lineRule="auto"/>
        <w:rPr>
          <w:rFonts w:ascii="Arial"/>
          <w:sz w:val="21"/>
        </w:rPr>
      </w:pPr>
    </w:p>
    <w:p w14:paraId="7A91CDC1">
      <w:pPr>
        <w:spacing w:line="243" w:lineRule="auto"/>
        <w:rPr>
          <w:rFonts w:ascii="Arial"/>
          <w:sz w:val="21"/>
        </w:rPr>
      </w:pPr>
    </w:p>
    <w:p w14:paraId="259F1EF5">
      <w:pPr>
        <w:spacing w:line="243" w:lineRule="auto"/>
        <w:rPr>
          <w:rFonts w:ascii="Arial"/>
          <w:sz w:val="21"/>
        </w:rPr>
      </w:pPr>
    </w:p>
    <w:p w14:paraId="6D0888B6">
      <w:pPr>
        <w:pStyle w:val="2"/>
        <w:spacing w:before="159" w:line="194" w:lineRule="auto"/>
        <w:ind w:left="3"/>
        <w:rPr>
          <w:rFonts w:hint="default"/>
          <w:sz w:val="35"/>
          <w:szCs w:val="35"/>
          <w:lang w:val="en-US"/>
        </w:rPr>
      </w:pPr>
      <w:r>
        <w:rPr>
          <w:rFonts w:ascii="Times New Roman" w:hAnsi="PingFang SC" w:eastAsia="PingFang SC" w:cs="PingFang SC"/>
          <w:b/>
          <w:bCs/>
          <w:snapToGrid w:val="0"/>
          <w:color w:val="000000"/>
          <w:spacing w:val="5"/>
          <w:kern w:val="0"/>
          <w:sz w:val="35"/>
          <w:szCs w:val="35"/>
          <w:lang w:val="en-US" w:eastAsia="en-US" w:bidi="ar-SA"/>
        </w:rPr>
        <w:t>Henan Otywell Electronic Technology Co., Ltd.</w:t>
      </w:r>
      <w:r>
        <w:rPr>
          <w:rFonts w:hint="default" w:ascii="Times New Roman" w:cs="PingFang SC"/>
          <w:b/>
          <w:bCs/>
          <w:snapToGrid w:val="0"/>
          <w:color w:val="000000"/>
          <w:spacing w:val="5"/>
          <w:kern w:val="0"/>
          <w:sz w:val="35"/>
          <w:szCs w:val="35"/>
          <w:lang w:val="en-US" w:eastAsia="en-US" w:bidi="ar-SA"/>
        </w:rPr>
        <w:t/>
      </w:r>
      <w:r>
        <w:rPr>
          <w:rFonts w:ascii="Times New Roman" w:hAnsi="PingFang SC" w:eastAsia="PingFang SC" w:cs="PingFang SC"/>
          <w:b/>
          <w:bCs/>
          <w:snapToGrid w:val="0"/>
          <w:color w:val="000000"/>
          <w:spacing w:val="5"/>
          <w:kern w:val="0"/>
          <w:sz w:val="35"/>
          <w:szCs w:val="35"/>
          <w:lang w:val="en-US" w:eastAsia="en-US" w:bidi="ar-SA"/>
        </w:rPr>
        <w:t/>
      </w:r>
    </w:p>
    <w:p w14:paraId="3D21B17E">
      <w:pPr>
        <w:pStyle w:val="2"/>
        <w:spacing w:before="139" w:line="237" w:lineRule="auto"/>
        <w:rPr>
          <w:rFonts w:hint="default"/>
          <w:sz w:val="20"/>
          <w:szCs w:val="20"/>
          <w:lang w:val="en-US"/>
        </w:rPr>
      </w:pPr>
      <w:r>
        <w:rPr>
          <w:rFonts w:ascii="Times New Roman" w:hAnsi="PingFang SC" w:eastAsia="PingFang SC" w:cs="PingFang SC"/>
          <w:snapToGrid w:val="0"/>
          <w:color w:val="000000"/>
          <w:spacing w:val="7"/>
          <w:kern w:val="0"/>
          <w:sz w:val="20"/>
          <w:szCs w:val="20"/>
          <w:lang w:val="en-US" w:eastAsia="en-US" w:bidi="ar-SA"/>
        </w:rPr>
        <w:t>Dirección: Unidad 2, Edificio 38, Lian Dong U Valley, intersección de la calle Jianyang y la calle Lianhua, Zona de Alta Tecnología, ciudad de Zhengzhou, provincia de Henan</w:t>
      </w:r>
    </w:p>
    <w:p w14:paraId="7E1A53F5">
      <w:pPr>
        <w:pStyle w:val="2"/>
        <w:spacing w:before="265" w:line="236" w:lineRule="auto"/>
        <w:ind w:left="4"/>
        <w:rPr>
          <w:rFonts w:hint="default"/>
          <w:sz w:val="20"/>
          <w:szCs w:val="20"/>
          <w:lang w:val="en-US"/>
        </w:rPr>
      </w:pPr>
      <w:r>
        <w:rPr>
          <w:rFonts w:ascii="Times New Roman" w:hAnsi="PingFang SC" w:eastAsia="PingFang SC" w:cs="PingFang SC"/>
          <w:snapToGrid w:val="0"/>
          <w:color w:val="000000"/>
          <w:spacing w:val="3"/>
          <w:kern w:val="0"/>
          <w:sz w:val="20"/>
          <w:szCs w:val="20"/>
          <w:lang w:val="en-US" w:eastAsia="en-US" w:bidi="ar-SA"/>
        </w:rPr>
        <w:t>Línea directa: 400-811-8873</w:t>
      </w:r>
    </w:p>
    <w:p w14:paraId="5F4B83D9">
      <w:pPr>
        <w:pStyle w:val="2"/>
        <w:spacing w:before="266" w:line="224" w:lineRule="auto"/>
        <w:ind w:left="15"/>
        <w:rPr>
          <w:rFonts w:hint="default"/>
          <w:sz w:val="20"/>
          <w:szCs w:val="20"/>
          <w:lang w:val="en-US"/>
        </w:rPr>
      </w:pPr>
      <w:r>
        <w:rPr>
          <w:rFonts w:ascii="Times New Roman" w:hAnsi="PingFang SC" w:eastAsia="PingFang SC" w:cs="PingFang SC"/>
          <w:snapToGrid w:val="0"/>
          <w:color w:val="000000"/>
          <w:kern w:val="0"/>
          <w:sz w:val="20"/>
          <w:szCs w:val="20"/>
          <w:lang w:val="en-US" w:eastAsia="en-US" w:bidi="ar-SA"/>
        </w:rPr>
        <w:t>Sitio web: http://www.otywell.com</w:t>
      </w:r>
    </w:p>
    <w:sectPr>
      <w:footerReference r:id="rId16" w:type="default"/>
      <w:pgSz w:w="11850" w:h="16783"/>
      <w:pgMar w:top="1426" w:right="1777" w:bottom="400" w:left="1134"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ingFang SC">
    <w:altName w:val="宋体"/>
    <w:panose1 w:val="020B0400000000000000"/>
    <w:charset w:val="86"/>
    <w:family w:val="auto"/>
    <w:pitch w:val="default"/>
    <w:sig w:usb0="00000000" w:usb1="00000000"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04A34">
    <w:pPr>
      <w:spacing w:line="188" w:lineRule="auto"/>
      <w:ind w:left="4580"/>
      <w:rPr>
        <w:rFonts w:hint="default" w:ascii="Times New Roman" w:hAnsi="Times New Roman" w:eastAsia="Times New Roman" w:cs="Times New Roman"/>
        <w:sz w:val="20"/>
        <w:szCs w:val="20"/>
        <w:lang w:val="en-US"/>
      </w:rPr>
    </w:pPr>
    <w:r>
      <w:rPr>
        <w:rFonts w:ascii="Times New Roman" w:hAnsi="Times New Roman" w:eastAsia="Times New Roman" w:cs="Times New Roman"/>
        <w:snapToGrid w:val="0"/>
        <w:color w:val="000000"/>
        <w:spacing w:val="-10"/>
        <w:kern w:val="0"/>
        <w:sz w:val="20"/>
        <w:szCs w:val="20"/>
        <w:lang w:val="en-US" w:eastAsia="en-US" w:bidi="ar-SA"/>
      </w:rPr>
      <w:t>1 / 11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EA391">
    <w:pPr>
      <w:spacing w:line="188" w:lineRule="auto"/>
      <w:ind w:left="4553"/>
      <w:rPr>
        <w:rFonts w:hint="default" w:ascii="Times New Roman" w:hAnsi="Times New Roman" w:eastAsia="Times New Roman" w:cs="Times New Roman"/>
        <w:sz w:val="20"/>
        <w:szCs w:val="20"/>
        <w:lang w:val="en-US"/>
      </w:rPr>
    </w:pPr>
    <w:r>
      <w:rPr>
        <w:rFonts w:ascii="Times New Roman" w:hAnsi="Times New Roman" w:eastAsia="Times New Roman" w:cs="Times New Roman"/>
        <w:snapToGrid w:val="0"/>
        <w:color w:val="000000"/>
        <w:spacing w:val="-5"/>
        <w:kern w:val="0"/>
        <w:sz w:val="20"/>
        <w:szCs w:val="20"/>
        <w:lang w:val="en-US" w:eastAsia="en-US" w:bidi="ar-SA"/>
      </w:rPr>
      <w:t>2 / 11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48DFF">
    <w:pPr>
      <w:spacing w:line="188" w:lineRule="auto"/>
      <w:ind w:left="4677"/>
      <w:rPr>
        <w:rFonts w:hint="default" w:ascii="Times New Roman" w:hAnsi="Times New Roman" w:eastAsia="Times New Roman" w:cs="Times New Roman"/>
        <w:sz w:val="20"/>
        <w:szCs w:val="20"/>
        <w:lang w:val="en-US"/>
      </w:rPr>
    </w:pPr>
    <w:r>
      <w:rPr>
        <w:rFonts w:ascii="Times New Roman" w:hAnsi="Times New Roman" w:eastAsia="Times New Roman" w:cs="Times New Roman"/>
        <w:snapToGrid w:val="0"/>
        <w:color w:val="000000"/>
        <w:spacing w:val="-6"/>
        <w:kern w:val="0"/>
        <w:sz w:val="20"/>
        <w:szCs w:val="20"/>
        <w:lang w:val="en-US" w:eastAsia="en-US" w:bidi="ar-SA"/>
      </w:rPr>
      <w:t>3 / 11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C3738">
    <w:pPr>
      <w:spacing w:line="188" w:lineRule="auto"/>
      <w:ind w:left="4672"/>
      <w:rPr>
        <w:rFonts w:hint="default" w:ascii="Times New Roman" w:hAnsi="Times New Roman" w:eastAsia="Times New Roman" w:cs="Times New Roman"/>
        <w:sz w:val="20"/>
        <w:szCs w:val="20"/>
        <w:lang w:val="en-US"/>
      </w:rPr>
    </w:pPr>
    <w:r>
      <w:rPr>
        <w:rFonts w:ascii="Times New Roman" w:hAnsi="Times New Roman" w:eastAsia="Times New Roman" w:cs="Times New Roman"/>
        <w:snapToGrid w:val="0"/>
        <w:color w:val="000000"/>
        <w:spacing w:val="-4"/>
        <w:kern w:val="0"/>
        <w:sz w:val="20"/>
        <w:szCs w:val="20"/>
        <w:lang w:val="en-US" w:eastAsia="en-US" w:bidi="ar-SA"/>
      </w:rPr>
      <w:t>4 / 11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EE9E6">
    <w:pPr>
      <w:spacing w:line="188" w:lineRule="auto"/>
      <w:ind w:left="4565"/>
      <w:rPr>
        <w:rFonts w:hint="default" w:ascii="Times New Roman" w:hAnsi="Times New Roman" w:eastAsia="Times New Roman" w:cs="Times New Roman"/>
        <w:sz w:val="20"/>
        <w:szCs w:val="20"/>
        <w:lang w:val="en-US"/>
      </w:rPr>
    </w:pPr>
    <w:r>
      <w:rPr>
        <w:rFonts w:ascii="Times New Roman" w:hAnsi="Times New Roman" w:eastAsia="Times New Roman" w:cs="Times New Roman"/>
        <w:snapToGrid w:val="0"/>
        <w:color w:val="000000"/>
        <w:spacing w:val="-6"/>
        <w:kern w:val="0"/>
        <w:sz w:val="20"/>
        <w:szCs w:val="20"/>
        <w:lang w:val="en-US" w:eastAsia="en-US" w:bidi="ar-SA"/>
      </w:rPr>
      <w:t>5 / 11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6E2A3">
    <w:pPr>
      <w:spacing w:line="188" w:lineRule="auto"/>
      <w:ind w:left="4562"/>
      <w:rPr>
        <w:rFonts w:hint="default" w:ascii="Times New Roman" w:hAnsi="Times New Roman" w:eastAsia="Times New Roman" w:cs="Times New Roman"/>
        <w:sz w:val="20"/>
        <w:szCs w:val="20"/>
        <w:lang w:val="en-US"/>
      </w:rPr>
    </w:pPr>
    <w:r>
      <w:rPr>
        <w:rFonts w:ascii="Times New Roman" w:hAnsi="Times New Roman" w:eastAsia="Times New Roman" w:cs="Times New Roman"/>
        <w:snapToGrid w:val="0"/>
        <w:color w:val="000000"/>
        <w:spacing w:val="-6"/>
        <w:kern w:val="0"/>
        <w:sz w:val="20"/>
        <w:szCs w:val="20"/>
        <w:lang w:val="en-US" w:eastAsia="en-US" w:bidi="ar-SA"/>
      </w:rPr>
      <w:t>6 / 11</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2A8DD">
    <w:pPr>
      <w:spacing w:line="188" w:lineRule="auto"/>
      <w:ind w:left="4563"/>
      <w:rPr>
        <w:rFonts w:hint="default" w:ascii="Times New Roman" w:hAnsi="Times New Roman" w:eastAsia="Times New Roman" w:cs="Times New Roman"/>
        <w:sz w:val="20"/>
        <w:szCs w:val="20"/>
        <w:lang w:val="en-US"/>
      </w:rPr>
    </w:pPr>
    <w:r>
      <w:rPr>
        <w:rFonts w:ascii="Times New Roman" w:hAnsi="Times New Roman" w:eastAsia="Times New Roman" w:cs="Times New Roman"/>
        <w:snapToGrid w:val="0"/>
        <w:color w:val="000000"/>
        <w:spacing w:val="-5"/>
        <w:kern w:val="0"/>
        <w:sz w:val="20"/>
        <w:szCs w:val="20"/>
        <w:lang w:val="en-US" w:eastAsia="en-US" w:bidi="ar-SA"/>
      </w:rPr>
      <w:t>7 / 11</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9AB39">
    <w:pPr>
      <w:spacing w:line="188" w:lineRule="auto"/>
      <w:ind w:left="4556"/>
      <w:rPr>
        <w:rFonts w:hint="default" w:ascii="Times New Roman" w:hAnsi="Times New Roman" w:eastAsia="Times New Roman" w:cs="Times New Roman"/>
        <w:sz w:val="20"/>
        <w:szCs w:val="20"/>
        <w:lang w:val="en-US"/>
      </w:rPr>
    </w:pPr>
    <w:r>
      <w:rPr>
        <w:rFonts w:ascii="Times New Roman" w:hAnsi="Times New Roman" w:eastAsia="Times New Roman" w:cs="Times New Roman"/>
        <w:snapToGrid w:val="0"/>
        <w:color w:val="000000"/>
        <w:spacing w:val="-7"/>
        <w:kern w:val="0"/>
        <w:sz w:val="20"/>
        <w:szCs w:val="20"/>
        <w:lang w:val="en-US" w:eastAsia="en-US" w:bidi="ar-SA"/>
      </w:rPr>
      <w:t>8 / 11</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7F3D3">
    <w:pPr>
      <w:spacing w:line="188" w:lineRule="auto"/>
      <w:ind w:left="4564"/>
      <w:rPr>
        <w:rFonts w:hint="default" w:ascii="Times New Roman" w:hAnsi="Times New Roman" w:eastAsia="Times New Roman" w:cs="Times New Roman"/>
        <w:sz w:val="20"/>
        <w:szCs w:val="20"/>
        <w:lang w:val="en-US"/>
      </w:rPr>
    </w:pPr>
    <w:r>
      <w:rPr>
        <w:rFonts w:ascii="Times New Roman" w:hAnsi="Times New Roman" w:eastAsia="Times New Roman" w:cs="Times New Roman"/>
        <w:snapToGrid w:val="0"/>
        <w:color w:val="000000"/>
        <w:spacing w:val="-6"/>
        <w:kern w:val="0"/>
        <w:sz w:val="20"/>
        <w:szCs w:val="20"/>
        <w:lang w:val="en-US" w:eastAsia="en-US" w:bidi="ar-SA"/>
      </w:rPr>
      <w:t>9 / 11</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430EB">
    <w:pPr>
      <w:spacing w:line="188" w:lineRule="auto"/>
      <w:ind w:left="4638"/>
      <w:rPr>
        <w:rFonts w:hint="default" w:ascii="Times New Roman" w:hAnsi="Times New Roman" w:eastAsia="Times New Roman" w:cs="Times New Roman"/>
        <w:sz w:val="20"/>
        <w:szCs w:val="20"/>
        <w:lang w:val="en-US"/>
      </w:rPr>
    </w:pPr>
    <w:r>
      <w:rPr>
        <w:rFonts w:ascii="Times New Roman" w:hAnsi="Times New Roman" w:eastAsia="Times New Roman" w:cs="Times New Roman"/>
        <w:snapToGrid w:val="0"/>
        <w:color w:val="000000"/>
        <w:spacing w:val="-7"/>
        <w:kern w:val="0"/>
        <w:sz w:val="20"/>
        <w:szCs w:val="20"/>
        <w:lang w:val="en-US" w:eastAsia="en-US" w:bidi="ar-SA"/>
      </w:rPr>
      <w:t>10 / 11</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06842C">
    <w:pPr>
      <w:spacing w:line="188" w:lineRule="auto"/>
      <w:ind w:left="4530"/>
      <w:rPr>
        <w:rFonts w:hint="default" w:ascii="Times New Roman" w:hAnsi="Times New Roman" w:eastAsia="Times New Roman" w:cs="Times New Roman"/>
        <w:sz w:val="20"/>
        <w:szCs w:val="20"/>
        <w:lang w:val="en-US"/>
      </w:rPr>
    </w:pPr>
    <w:r>
      <w:rPr>
        <w:rFonts w:ascii="Times New Roman" w:hAnsi="Times New Roman" w:eastAsia="Times New Roman" w:cs="Times New Roman"/>
        <w:snapToGrid w:val="0"/>
        <w:color w:val="000000"/>
        <w:spacing w:val="-7"/>
        <w:kern w:val="0"/>
        <w:sz w:val="20"/>
        <w:szCs w:val="20"/>
        <w:lang w:val="en-US" w:eastAsia="en-US" w:bidi="ar-SA"/>
      </w:rPr>
      <w:t>11 / 11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A4481">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documentProtection w:edit="readOnly"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7524C32"/>
    <w:rsid w:val="59DF9AD8"/>
    <w:rsid w:val="7FBC64E6"/>
    <w:rsid w:val="FDA717E1"/>
    <w:rsid w:val="FFDF20A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PingFang SC" w:hAnsi="PingFang SC" w:eastAsia="PingFang SC" w:cs="PingFang SC"/>
      <w:sz w:val="24"/>
      <w:szCs w:val="24"/>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PingFang SC" w:hAnsi="PingFang SC" w:eastAsia="PingFang SC" w:cs="PingFang SC"/>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8" Type="http://schemas.openxmlformats.org/officeDocument/2006/relationships/fontTable" Target="fontTable.xml"/><Relationship Id="rId37" Type="http://schemas.openxmlformats.org/officeDocument/2006/relationships/image" Target="media/image20.jpeg"/><Relationship Id="rId36" Type="http://schemas.openxmlformats.org/officeDocument/2006/relationships/image" Target="media/image19.jpeg"/><Relationship Id="rId35" Type="http://schemas.openxmlformats.org/officeDocument/2006/relationships/image" Target="media/image18.jpeg"/><Relationship Id="rId34" Type="http://schemas.openxmlformats.org/officeDocument/2006/relationships/image" Target="media/image17.jpeg"/><Relationship Id="rId33" Type="http://schemas.openxmlformats.org/officeDocument/2006/relationships/image" Target="media/image16.jpeg"/><Relationship Id="rId32" Type="http://schemas.openxmlformats.org/officeDocument/2006/relationships/image" Target="media/image15.jpeg"/><Relationship Id="rId31" Type="http://schemas.openxmlformats.org/officeDocument/2006/relationships/image" Target="media/image14.jpeg"/><Relationship Id="rId30" Type="http://schemas.openxmlformats.org/officeDocument/2006/relationships/image" Target="media/image13.jpeg"/><Relationship Id="rId3" Type="http://schemas.openxmlformats.org/officeDocument/2006/relationships/footnotes" Target="footnotes.xml"/><Relationship Id="rId29" Type="http://schemas.openxmlformats.org/officeDocument/2006/relationships/image" Target="media/image12.jpeg"/><Relationship Id="rId28" Type="http://schemas.openxmlformats.org/officeDocument/2006/relationships/image" Target="media/image11.jpeg"/><Relationship Id="rId27" Type="http://schemas.openxmlformats.org/officeDocument/2006/relationships/image" Target="media/image10.jpeg"/><Relationship Id="rId26" Type="http://schemas.openxmlformats.org/officeDocument/2006/relationships/image" Target="media/image9.jpeg"/><Relationship Id="rId25" Type="http://schemas.openxmlformats.org/officeDocument/2006/relationships/image" Target="media/image8.jpeg"/><Relationship Id="rId24" Type="http://schemas.openxmlformats.org/officeDocument/2006/relationships/image" Target="media/image7.jpeg"/><Relationship Id="rId23" Type="http://schemas.openxmlformats.org/officeDocument/2006/relationships/image" Target="media/image6.jpeg"/><Relationship Id="rId22" Type="http://schemas.openxmlformats.org/officeDocument/2006/relationships/image" Target="media/image5.png"/><Relationship Id="rId21" Type="http://schemas.openxmlformats.org/officeDocument/2006/relationships/image" Target="media/image4.png"/><Relationship Id="rId20" Type="http://schemas.openxmlformats.org/officeDocument/2006/relationships/image" Target="media/image3.png"/><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image" Target="media/image1.png"/><Relationship Id="rId17" Type="http://schemas.openxmlformats.org/officeDocument/2006/relationships/theme" Target="theme/theme1.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17</Pages>
  <Words>2602</Words>
  <Characters>14392</Characters>
  <TotalTime>1</TotalTime>
  <ScaleCrop>false</ScaleCrop>
  <LinksUpToDate>false</LinksUpToDate>
  <CharactersWithSpaces>16778</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2025-10-10T17:31:00Z</dcterms:created>
  <dc:creator>任兴会</dc:creator>
  <cp:lastModifiedBy>小牛同学</cp:lastModifiedBy>
  <dcterms:modified xsi:type="dcterms:W3CDTF">2026-09-15T06:31:38Z</dcterms:modified>
  <dc:title>KP816NEW2014版系列</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2026-04-10T16:43:46Z</vt:filetime>
  </property>
  <property fmtid="{D5CDD505-2E9C-101B-9397-08002B2CF9AE}" pid="4" name="KSOProductBuildVer">
    <vt:lpwstr>2052-12.1.0.28505</vt:lpwstr>
  </property>
  <property fmtid="{D5CDD505-2E9C-101B-9397-08002B2CF9AE}" pid="5" name="ICV">
    <vt:lpwstr>96CBB665E45D42E8963C802AC5DBFE92_13</vt:lpwstr>
  </property>
</Properties>
</file>