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B53A2">
      <w:pPr>
        <w:spacing w:line="253" w:lineRule="auto"/>
        <w:rPr>
          <w:rFonts w:ascii="Arial"/>
          <w:sz w:val="21"/>
        </w:rPr>
      </w:pPr>
      <w:bookmarkStart w:id="38" w:name="_GoBack"/>
      <w:bookmarkEnd w:id="38"/>
    </w:p>
    <w:p w14:paraId="5A2BB7CC">
      <w:pPr>
        <w:spacing w:line="253" w:lineRule="auto"/>
        <w:rPr>
          <w:rFonts w:ascii="Arial"/>
          <w:sz w:val="21"/>
        </w:rPr>
      </w:pPr>
    </w:p>
    <w:p w14:paraId="205C84F3">
      <w:pPr>
        <w:spacing w:line="253" w:lineRule="auto"/>
        <w:rPr>
          <w:rFonts w:ascii="Arial"/>
          <w:sz w:val="21"/>
        </w:rPr>
      </w:pPr>
    </w:p>
    <w:p w14:paraId="5932D432">
      <w:pPr>
        <w:spacing w:line="253" w:lineRule="auto"/>
        <w:rPr>
          <w:rFonts w:ascii="Arial"/>
          <w:sz w:val="21"/>
        </w:rPr>
      </w:pPr>
    </w:p>
    <w:p w14:paraId="2E3D2B46">
      <w:pPr>
        <w:spacing w:before="268" w:line="191" w:lineRule="auto"/>
        <w:ind w:left="957"/>
        <w:rPr>
          <w:rFonts w:hint="default" w:ascii="PingFang SC" w:hAnsi="PingFang SC" w:eastAsia="PingFang SC" w:cs="PingFang SC"/>
          <w:sz w:val="59"/>
          <w:szCs w:val="59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38"/>
          <w:kern w:val="0"/>
          <w:sz w:val="59"/>
          <w:szCs w:val="59"/>
          <w:lang w:val="en-US" w:eastAsia="en-US" w:bidi="ar-SA"/>
        </w:rPr>
        <w:t>Портативный прибор обнаружения газа и сигнализации</w:t>
      </w:r>
    </w:p>
    <w:p w14:paraId="101CD62D">
      <w:pPr>
        <w:spacing w:before="357" w:line="1108" w:lineRule="exact"/>
        <w:ind w:left="3147"/>
        <w:rPr>
          <w:rFonts w:hint="default" w:ascii="PingFang SC" w:hAnsi="PingFang SC" w:eastAsia="PingFang SC" w:cs="PingFang SC"/>
          <w:sz w:val="59"/>
          <w:szCs w:val="59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69"/>
          <w:kern w:val="0"/>
          <w:position w:val="12"/>
          <w:sz w:val="59"/>
          <w:szCs w:val="59"/>
          <w:lang w:val="en-US" w:eastAsia="en-US" w:bidi="ar-SA"/>
        </w:rPr>
        <w:t>OT139</w:t>
      </w:r>
    </w:p>
    <w:p w14:paraId="27A7F734">
      <w:pPr>
        <w:spacing w:before="356" w:line="192" w:lineRule="auto"/>
        <w:ind w:left="2556"/>
        <w:rPr>
          <w:rFonts w:hint="default" w:ascii="PingFang SC" w:hAnsi="PingFang SC" w:eastAsia="PingFang SC" w:cs="PingFang SC"/>
          <w:sz w:val="59"/>
          <w:szCs w:val="59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34"/>
          <w:kern w:val="0"/>
          <w:sz w:val="59"/>
          <w:szCs w:val="59"/>
          <w:lang w:val="en-US" w:eastAsia="en-US" w:bidi="ar-SA"/>
        </w:rPr>
        <w:t>руководство по эксплуатации</w:t>
      </w:r>
    </w:p>
    <w:p w14:paraId="4271891E">
      <w:pPr>
        <w:spacing w:line="252" w:lineRule="auto"/>
        <w:rPr>
          <w:rFonts w:ascii="Arial"/>
          <w:sz w:val="21"/>
        </w:rPr>
      </w:pPr>
    </w:p>
    <w:p w14:paraId="5C3400E0">
      <w:pPr>
        <w:spacing w:line="253" w:lineRule="auto"/>
        <w:rPr>
          <w:rFonts w:ascii="Arial"/>
          <w:sz w:val="21"/>
        </w:rPr>
      </w:pPr>
    </w:p>
    <w:p w14:paraId="2C8A3243">
      <w:pPr>
        <w:spacing w:line="253" w:lineRule="auto"/>
        <w:rPr>
          <w:rFonts w:ascii="Arial"/>
          <w:sz w:val="21"/>
        </w:rPr>
      </w:pPr>
    </w:p>
    <w:p w14:paraId="1E4733FC">
      <w:pPr>
        <w:spacing w:line="253" w:lineRule="auto"/>
        <w:rPr>
          <w:rFonts w:ascii="Arial"/>
          <w:sz w:val="21"/>
        </w:rPr>
      </w:pPr>
    </w:p>
    <w:p w14:paraId="7CDC65B2">
      <w:pPr>
        <w:spacing w:line="5999" w:lineRule="exact"/>
        <w:ind w:firstLine="2835"/>
      </w:pPr>
      <w:r>
        <w:rPr>
          <w:position w:val="-119"/>
        </w:rPr>
        <w:drawing>
          <wp:inline distT="0" distB="0" distL="0" distR="0">
            <wp:extent cx="1724025" cy="380873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434" cy="38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D8FED">
      <w:pPr>
        <w:spacing w:line="256" w:lineRule="auto"/>
        <w:rPr>
          <w:rFonts w:ascii="Arial"/>
          <w:sz w:val="21"/>
        </w:rPr>
      </w:pPr>
    </w:p>
    <w:p w14:paraId="41B4AD75">
      <w:pPr>
        <w:spacing w:line="256" w:lineRule="auto"/>
        <w:rPr>
          <w:rFonts w:ascii="Arial"/>
          <w:sz w:val="21"/>
        </w:rPr>
      </w:pPr>
    </w:p>
    <w:p w14:paraId="112C4C0B">
      <w:pPr>
        <w:spacing w:before="195" w:line="280" w:lineRule="auto"/>
        <w:ind w:left="1983" w:right="972" w:hanging="904"/>
        <w:rPr>
          <w:rFonts w:hint="default" w:ascii="PingFang SC" w:hAnsi="PingFang SC" w:eastAsia="PingFang SC" w:cs="PingFang SC"/>
          <w:sz w:val="30"/>
          <w:szCs w:val="30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1"/>
          <w:kern w:val="0"/>
          <w:sz w:val="30"/>
          <w:szCs w:val="30"/>
          <w:lang w:val="en-US" w:eastAsia="en-US" w:bidi="ar-SA"/>
        </w:rPr>
        <w:t>Henan Outaiwei Electronic Technology Co., Ltd. — предприятие, сертифицированное по системе менеджмента качества ISO9001.</w:t>
      </w:r>
    </w:p>
    <w:p w14:paraId="0299CEB8">
      <w:pPr>
        <w:spacing w:line="280" w:lineRule="auto"/>
        <w:rPr>
          <w:rFonts w:ascii="PingFang SC" w:hAnsi="PingFang SC" w:eastAsia="PingFang SC" w:cs="PingFang SC"/>
          <w:sz w:val="30"/>
          <w:szCs w:val="30"/>
        </w:rPr>
        <w:sectPr>
          <w:pgSz w:w="11850" w:h="16783"/>
          <w:pgMar w:top="1426" w:right="1777" w:bottom="0" w:left="1777" w:header="0" w:footer="0" w:gutter="0"/>
          <w:cols w:space="720" w:num="1"/>
        </w:sectPr>
      </w:pPr>
    </w:p>
    <w:p w14:paraId="2C163893">
      <w:pPr>
        <w:spacing w:line="248" w:lineRule="auto"/>
        <w:rPr>
          <w:rFonts w:ascii="Arial"/>
          <w:sz w:val="21"/>
        </w:rPr>
      </w:pPr>
    </w:p>
    <w:p w14:paraId="1944E466">
      <w:pPr>
        <w:spacing w:line="249" w:lineRule="auto"/>
        <w:rPr>
          <w:rFonts w:ascii="Arial"/>
          <w:sz w:val="21"/>
        </w:rPr>
      </w:pPr>
    </w:p>
    <w:p w14:paraId="5B055E39">
      <w:pPr>
        <w:spacing w:line="249" w:lineRule="auto"/>
        <w:rPr>
          <w:rFonts w:ascii="Arial"/>
          <w:sz w:val="21"/>
        </w:rPr>
      </w:pPr>
    </w:p>
    <w:p w14:paraId="03BE8137">
      <w:pPr>
        <w:pStyle w:val="2"/>
        <w:spacing w:before="109" w:line="272" w:lineRule="auto"/>
        <w:ind w:right="2" w:firstLine="482"/>
        <w:jc w:val="both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Благодарим вас за использование серии продукции Henan Outewell Electronic Technology Co., Ltd. Перед использованием данного изделия внимательно прочитайте данные инструкции и следуйте приведённым шагам эксплуатации, чтобы в полной мере воспользоваться нашими услугами и избежать случайного повреждения устройства или иных происшествий из-за неправильной эксплуатации.</w:t>
      </w:r>
    </w:p>
    <w:p w14:paraId="79109C73">
      <w:pPr>
        <w:spacing w:line="296" w:lineRule="auto"/>
        <w:rPr>
          <w:rFonts w:ascii="Arial"/>
          <w:sz w:val="21"/>
        </w:rPr>
      </w:pPr>
    </w:p>
    <w:p w14:paraId="488A5CB7">
      <w:pPr>
        <w:pStyle w:val="2"/>
        <w:spacing w:before="127" w:line="190" w:lineRule="auto"/>
        <w:ind w:left="3"/>
        <w:rPr>
          <w:rFonts w:hint="default"/>
          <w:sz w:val="28"/>
          <w:szCs w:val="28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Заявление об авторских правах</w:t>
      </w:r>
    </w:p>
    <w:p w14:paraId="5468BB0A">
      <w:pPr>
        <w:pStyle w:val="2"/>
        <w:spacing w:before="129" w:line="261" w:lineRule="auto"/>
        <w:ind w:left="3" w:right="2" w:firstLine="47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Henan Outaiwei Electronic Technology Co., Ltd. придерживается принципа технологического прогресса, постоянно стремясь к улучшению продукции и повышению её характеристик. Компания оставляет за собой право вносить любые изменения в продукцию без предварительного уведомления.</w:t>
      </w:r>
    </w:p>
    <w:p w14:paraId="21CE1A78">
      <w:pPr>
        <w:pStyle w:val="2"/>
        <w:spacing w:line="182" w:lineRule="auto"/>
        <w:ind w:left="48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Если пользователь устанавливает, ремонтирует или заменяет компоненты, не соблюдая инструкции данного руководства, пользователь несёт ответственность за любые возникающие последствия.</w:t>
      </w:r>
    </w:p>
    <w:p w14:paraId="25DECCB4">
      <w:pPr>
        <w:spacing w:line="387" w:lineRule="auto"/>
        <w:rPr>
          <w:rFonts w:ascii="Arial"/>
          <w:sz w:val="21"/>
        </w:rPr>
      </w:pPr>
    </w:p>
    <w:p w14:paraId="06C1E71A">
      <w:pPr>
        <w:pStyle w:val="2"/>
        <w:spacing w:before="129" w:line="189" w:lineRule="auto"/>
        <w:ind w:left="6"/>
        <w:rPr>
          <w:rFonts w:hint="default"/>
          <w:sz w:val="28"/>
          <w:szCs w:val="28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Руководство по обслуживанию пользователя</w:t>
      </w:r>
    </w:p>
    <w:p w14:paraId="5E3A77A0">
      <w:pPr>
        <w:pStyle w:val="2"/>
        <w:spacing w:before="89" w:line="260" w:lineRule="auto"/>
        <w:ind w:left="1" w:right="4" w:firstLine="2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1 Перед использованием данного изделия тщательно проверьте комплектность принадлежностей, сертификацию изделия и гарантийный талон пользователя согласно заводскому перечню. При обнаружении любых недостатков немедленно свяжитесь с продавцом или производителем.</w:t>
      </w:r>
    </w:p>
    <w:p w14:paraId="6F6DB610">
      <w:pPr>
        <w:pStyle w:val="2"/>
        <w:spacing w:before="3" w:line="259" w:lineRule="auto"/>
        <w:ind w:left="1" w:right="4" w:firstLine="1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2 Для данного изделия в течение двенадцати месяцев со дня продажи, если пользователь соблюдает требования к хранению, транспортировке и эксплуатации, но качество изделия ниже технических характеристик, бесплатный ремонт предоставляется при предъявлении гарантийного талона.</w:t>
      </w:r>
    </w:p>
    <w:p w14:paraId="2FB5ECAB">
      <w:pPr>
        <w:pStyle w:val="2"/>
        <w:spacing w:before="2" w:line="233" w:lineRule="auto"/>
        <w:ind w:left="2" w:right="4" w:firstLine="1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3 За повреждения, вызванные нарушением правил и требований эксплуатации, неисправности, не устранённые назначенным уполномоченным отделом технического обслуживания нашей компании, или проблемы с качеством продукции, возникшие вследствие обстоятельств непреодолимой силы, наша компания взимает плату за ремонт.</w:t>
      </w:r>
    </w:p>
    <w:p w14:paraId="5AFE5033">
      <w:pPr>
        <w:pStyle w:val="2"/>
        <w:spacing w:before="97" w:line="222" w:lineRule="auto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4 При проведении технического обслуживания, пожалуйста, предъявите гарантийный талон изделия. При непредъявлении гарантийного талона ремонт будет платным.</w:t>
      </w:r>
    </w:p>
    <w:p w14:paraId="336EC0C5">
      <w:pPr>
        <w:pStyle w:val="2"/>
        <w:spacing w:before="72" w:line="242" w:lineRule="auto"/>
        <w:ind w:left="1" w:right="2" w:firstLine="1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5. После технического обслуживания или ремонта изделия, пожалуйста, предъявите данное руководство. Обслуживающий персонал заполнит и подпишет прилагаемую "Запись состояния технического обслуживания и ремонта". Кроме того, пожалуйста, подпишите запись, чтобы подтвердить детали обслуживания/ремонта и предоставить ценные замечания. Для организаций-пользователей поставьте официальную печать.</w:t>
      </w:r>
    </w:p>
    <w:p w14:paraId="23E383C1">
      <w:pPr>
        <w:pStyle w:val="2"/>
        <w:spacing w:before="97" w:line="233" w:lineRule="auto"/>
        <w:ind w:firstLine="1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6. Если у вас есть какие-либо вопросы или опасения относительно нашей продукции и услуг, включая технические характеристики, качество, монтаж и техническое обслуживание, отношение при обслуживании или цены, мы просим вас своевременно связаться с нами. Ваши замечания будут рассмотрены с должным вниманием.</w:t>
      </w:r>
    </w:p>
    <w:p w14:paraId="02C59F16">
      <w:pPr>
        <w:pStyle w:val="2"/>
        <w:spacing w:before="249" w:line="189" w:lineRule="auto"/>
        <w:ind w:left="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Внимание: строго запрещается заряжать газоанализаторы или открывать крышки при включённом питании на рабочем объекте.</w:t>
      </w:r>
    </w:p>
    <w:p w14:paraId="3962D5B8">
      <w:pPr>
        <w:spacing w:line="189" w:lineRule="auto"/>
        <w:sectPr>
          <w:pgSz w:w="11850" w:h="16783"/>
          <w:pgMar w:top="1426" w:right="1131" w:bottom="0" w:left="1134" w:header="0" w:footer="0" w:gutter="0"/>
          <w:cols w:space="720" w:num="1"/>
        </w:sectPr>
      </w:pPr>
    </w:p>
    <w:p w14:paraId="49D63879">
      <w:pPr>
        <w:spacing w:line="285" w:lineRule="auto"/>
        <w:rPr>
          <w:rFonts w:ascii="Arial"/>
          <w:sz w:val="21"/>
        </w:rPr>
      </w:pPr>
    </w:p>
    <w:p w14:paraId="3AFE4077">
      <w:pPr>
        <w:spacing w:line="285" w:lineRule="auto"/>
        <w:rPr>
          <w:rFonts w:ascii="Arial"/>
          <w:sz w:val="21"/>
        </w:rPr>
      </w:pPr>
    </w:p>
    <w:sdt>
      <w:sdtPr>
        <w:rPr>
          <w:rFonts w:ascii="PingFang SC" w:hAnsi="PingFang SC" w:eastAsia="PingFang SC" w:cs="PingFang SC"/>
          <w:sz w:val="40"/>
          <w:szCs w:val="40"/>
        </w:rPr>
        <w:id w:val="825816787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4"/>
          <w:szCs w:val="24"/>
        </w:rPr>
      </w:sdtEndPr>
      <w:sdtContent>
        <w:p w14:paraId="0C855081">
          <w:pPr>
            <w:pStyle w:val="2"/>
            <w:spacing w:before="182" w:line="191" w:lineRule="auto"/>
            <w:ind w:left="4079"/>
            <w:rPr>
              <w:rFonts w:hint="default"/>
              <w:sz w:val="40"/>
              <w:szCs w:val="40"/>
              <w:lang w:val="en-US"/>
            </w:rPr>
          </w:pPr>
          <w:r>
            <w:rPr>
              <w:rFonts w:ascii="Times New Roman" w:hAnsi="PingFang SC" w:eastAsia="PingFang SC" w:cs="PingFang SC"/>
              <w:b/>
              <w:bCs/>
              <w:snapToGrid w:val="0"/>
              <w:color w:val="000000"/>
              <w:spacing w:val="-50"/>
              <w:kern w:val="0"/>
              <w:sz w:val="40"/>
              <w:szCs w:val="40"/>
              <w:lang w:val="en-US" w:eastAsia="en-US" w:bidi="ar-SA"/>
            </w:rPr>
            <w:t>каталог</w:t>
          </w:r>
        </w:p>
        <w:p w14:paraId="7C604CD7">
          <w:pPr>
            <w:spacing w:line="255" w:lineRule="auto"/>
            <w:rPr>
              <w:rFonts w:ascii="Arial"/>
              <w:sz w:val="21"/>
            </w:rPr>
          </w:pPr>
        </w:p>
        <w:p w14:paraId="219E940E">
          <w:pPr>
            <w:spacing w:line="256" w:lineRule="auto"/>
            <w:rPr>
              <w:rFonts w:ascii="Arial"/>
              <w:sz w:val="21"/>
            </w:rPr>
          </w:pPr>
        </w:p>
        <w:p w14:paraId="212BEC0B">
          <w:pPr>
            <w:spacing w:line="256" w:lineRule="auto"/>
            <w:rPr>
              <w:rFonts w:ascii="Arial"/>
              <w:sz w:val="21"/>
            </w:rPr>
          </w:pPr>
        </w:p>
        <w:p w14:paraId="4058383F">
          <w:pPr>
            <w:pStyle w:val="2"/>
            <w:tabs>
              <w:tab w:val="right" w:leader="dot" w:pos="9582"/>
            </w:tabs>
            <w:spacing w:before="110" w:line="187" w:lineRule="auto"/>
            <w:ind w:left="2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29"/>
              <w:kern w:val="0"/>
              <w:sz w:val="24"/>
              <w:szCs w:val="24"/>
              <w:lang w:val="en-US" w:eastAsia="en-US" w:bidi="ar-SA"/>
            </w:rPr>
            <w:t>I. Обзор 1 1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29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29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263EC987">
          <w:pPr>
            <w:spacing w:line="290" w:lineRule="auto"/>
            <w:rPr>
              <w:rFonts w:ascii="Arial"/>
              <w:sz w:val="21"/>
            </w:rPr>
          </w:pPr>
        </w:p>
        <w:p w14:paraId="6FCA8CE9">
          <w:pPr>
            <w:pStyle w:val="2"/>
            <w:tabs>
              <w:tab w:val="right" w:leader="dot" w:pos="9582"/>
            </w:tabs>
            <w:spacing w:before="109" w:line="189" w:lineRule="auto"/>
            <w:ind w:left="5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>II. Основные технические характеристики 22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/>
          </w:r>
        </w:p>
        <w:p w14:paraId="750D3CEE">
          <w:pPr>
            <w:spacing w:line="287" w:lineRule="auto"/>
            <w:rPr>
              <w:rFonts w:ascii="Arial"/>
              <w:sz w:val="21"/>
            </w:rPr>
          </w:pPr>
        </w:p>
        <w:p w14:paraId="65189078">
          <w:pPr>
            <w:pStyle w:val="2"/>
            <w:tabs>
              <w:tab w:val="right" w:leader="dot" w:pos="9582"/>
            </w:tabs>
            <w:spacing w:before="110" w:line="189" w:lineRule="auto"/>
            <w:ind w:left="5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>III. Внешний вид и функциональная индикация 33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/>
          </w:r>
        </w:p>
        <w:p w14:paraId="552F6BC0">
          <w:pPr>
            <w:spacing w:line="291" w:lineRule="auto"/>
            <w:rPr>
              <w:rFonts w:ascii="Arial"/>
              <w:sz w:val="21"/>
            </w:rPr>
          </w:pPr>
        </w:p>
        <w:p w14:paraId="58FED969">
          <w:pPr>
            <w:pStyle w:val="2"/>
            <w:tabs>
              <w:tab w:val="right" w:leader="dot" w:pos="9582"/>
            </w:tabs>
            <w:spacing w:before="109" w:line="188" w:lineRule="auto"/>
            <w:ind w:left="20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>IV. Указания по эксплуатации 44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12"/>
              <w:kern w:val="0"/>
              <w:sz w:val="24"/>
              <w:szCs w:val="24"/>
              <w:lang w:val="en-US" w:eastAsia="en-US" w:bidi="ar-SA"/>
            </w:rPr>
            <w:t/>
          </w:r>
        </w:p>
        <w:p w14:paraId="27C64E60">
          <w:pPr>
            <w:spacing w:line="245" w:lineRule="auto"/>
            <w:rPr>
              <w:rFonts w:ascii="Arial"/>
              <w:sz w:val="21"/>
            </w:rPr>
          </w:pPr>
        </w:p>
        <w:p w14:paraId="2C1D58D7">
          <w:pPr>
            <w:pStyle w:val="2"/>
            <w:tabs>
              <w:tab w:val="left" w:pos="23"/>
              <w:tab w:val="right" w:leader="dot" w:pos="9582"/>
            </w:tabs>
            <w:spacing w:before="109" w:line="229" w:lineRule="auto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1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1"/>
              <w:kern w:val="0"/>
              <w:sz w:val="24"/>
              <w:szCs w:val="24"/>
              <w:lang w:val="en-US" w:eastAsia="en-US" w:bidi="ar-SA"/>
            </w:rPr>
            <w:t>1. Настройки каналов 6 6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1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1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529A7A0D">
          <w:pPr>
            <w:pStyle w:val="2"/>
            <w:tabs>
              <w:tab w:val="right" w:leader="dot" w:pos="9582"/>
            </w:tabs>
            <w:spacing w:before="327" w:line="229" w:lineRule="auto"/>
            <w:ind w:left="12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1"/>
              <w:kern w:val="0"/>
              <w:sz w:val="24"/>
              <w:szCs w:val="24"/>
              <w:lang w:val="en-US" w:eastAsia="en-US" w:bidi="ar-SA"/>
            </w:rPr>
            <w:t>2. Настройка времени 6 6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1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1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78D70BEC">
          <w:pPr>
            <w:pStyle w:val="2"/>
            <w:tabs>
              <w:tab w:val="right" w:leader="dot" w:pos="9582"/>
            </w:tabs>
            <w:spacing w:before="327" w:line="229" w:lineRule="auto"/>
            <w:ind w:left="15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9"/>
              <w:kern w:val="0"/>
              <w:sz w:val="24"/>
              <w:szCs w:val="24"/>
              <w:lang w:val="en-US" w:eastAsia="en-US" w:bidi="ar-SA"/>
            </w:rPr>
            <w:t>3. Записи сигнализаций 7 7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9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9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59B125F3">
          <w:pPr>
            <w:pStyle w:val="2"/>
            <w:tabs>
              <w:tab w:val="right" w:leader="dot" w:pos="9582"/>
            </w:tabs>
            <w:spacing w:before="328" w:line="228" w:lineRule="auto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9"/>
              <w:kern w:val="0"/>
              <w:sz w:val="24"/>
              <w:szCs w:val="24"/>
              <w:lang w:val="en-US" w:eastAsia="en-US" w:bidi="ar-SA"/>
            </w:rPr>
            <w:t>4. Настройка нулевой точки 7 7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9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9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467A201C">
          <w:pPr>
            <w:pStyle w:val="2"/>
            <w:tabs>
              <w:tab w:val="right" w:leader="dot" w:pos="9582"/>
            </w:tabs>
            <w:spacing w:before="329" w:line="229" w:lineRule="auto"/>
            <w:ind w:left="19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5"/>
              <w:kern w:val="0"/>
              <w:sz w:val="24"/>
              <w:szCs w:val="24"/>
              <w:lang w:val="en-US" w:eastAsia="en-US" w:bidi="ar-SA"/>
            </w:rPr>
            <w:t>5. Калибровка 8 8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5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5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642D8C1B">
          <w:pPr>
            <w:pStyle w:val="2"/>
            <w:tabs>
              <w:tab w:val="right" w:leader="dot" w:pos="9582"/>
            </w:tabs>
            <w:spacing w:before="327" w:line="229" w:lineRule="auto"/>
            <w:ind w:left="12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5"/>
              <w:kern w:val="0"/>
              <w:sz w:val="24"/>
              <w:szCs w:val="24"/>
              <w:lang w:val="en-US" w:eastAsia="en-US" w:bidi="ar-SA"/>
            </w:rPr>
            <w:t>6. Восстановление заводских настроек 8 8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5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5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5C4A9975">
          <w:pPr>
            <w:pStyle w:val="2"/>
            <w:tabs>
              <w:tab w:val="right" w:leader="dot" w:pos="9582"/>
            </w:tabs>
            <w:spacing w:before="326" w:line="229" w:lineRule="auto"/>
            <w:ind w:left="11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0"/>
              <w:kern w:val="0"/>
              <w:sz w:val="24"/>
              <w:szCs w:val="24"/>
              <w:lang w:val="en-US" w:eastAsia="en-US" w:bidi="ar-SA"/>
            </w:rPr>
            <w:t>7. Настройки выгрузки 9 9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0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0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11F41709">
          <w:pPr>
            <w:spacing w:line="260" w:lineRule="auto"/>
            <w:rPr>
              <w:rFonts w:ascii="Arial"/>
              <w:sz w:val="21"/>
            </w:rPr>
          </w:pPr>
        </w:p>
        <w:p w14:paraId="295765CD">
          <w:pPr>
            <w:pStyle w:val="2"/>
            <w:tabs>
              <w:tab w:val="right" w:leader="dot" w:pos="9582"/>
            </w:tabs>
            <w:spacing w:before="110" w:line="190" w:lineRule="auto"/>
            <w:ind w:left="3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0"/>
              <w:kern w:val="0"/>
              <w:sz w:val="24"/>
              <w:szCs w:val="24"/>
              <w:lang w:val="en-US" w:eastAsia="en-US" w:bidi="ar-SA"/>
            </w:rPr>
            <w:t>V. Меры предосторожности 9 9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0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0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61AE22DD">
          <w:pPr>
            <w:spacing w:line="286" w:lineRule="auto"/>
            <w:rPr>
              <w:rFonts w:ascii="Arial"/>
              <w:sz w:val="21"/>
            </w:rPr>
          </w:pPr>
        </w:p>
        <w:p w14:paraId="23A349B5">
          <w:pPr>
            <w:pStyle w:val="2"/>
            <w:tabs>
              <w:tab w:val="right" w:leader="dot" w:pos="9582"/>
            </w:tabs>
            <w:spacing w:before="110" w:line="190" w:lineRule="auto"/>
            <w:ind w:left="5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4"/>
              <w:kern w:val="0"/>
              <w:sz w:val="24"/>
              <w:szCs w:val="24"/>
              <w:lang w:val="en-US" w:eastAsia="en-US" w:bidi="ar-SA"/>
            </w:rPr>
            <w:t>VI. Типичные неисправности и способы их устранения 10 10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4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4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175BBF56">
          <w:pPr>
            <w:spacing w:line="290" w:lineRule="auto"/>
            <w:rPr>
              <w:rFonts w:ascii="Arial"/>
              <w:sz w:val="21"/>
            </w:rPr>
          </w:pPr>
        </w:p>
        <w:p w14:paraId="5A199955">
          <w:pPr>
            <w:pStyle w:val="2"/>
            <w:tabs>
              <w:tab w:val="right" w:leader="dot" w:pos="9586"/>
            </w:tabs>
            <w:spacing w:before="109" w:line="187" w:lineRule="auto"/>
            <w:ind w:left="4"/>
            <w:rPr>
              <w:rFonts w:hint="default" w:ascii="Times New Roman" w:hAnsi="Times New Roman" w:eastAsia="Times New Roman" w:cs="Times New Roman"/>
              <w:lang w:val="en-US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7"/>
              <w:kern w:val="0"/>
              <w:sz w:val="24"/>
              <w:szCs w:val="24"/>
              <w:lang w:val="en-US" w:eastAsia="en-US" w:bidi="ar-SA"/>
            </w:rPr>
            <w:t>VII. Хранение 11 11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7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spacing w:val="-17"/>
              <w:kern w:val="0"/>
              <w:sz w:val="24"/>
              <w:szCs w:val="24"/>
              <w:lang w:val="en-US" w:eastAsia="en-US" w:bidi="ar-SA"/>
            </w:rPr>
            <w:t xml:space="preserve"/>
          </w:r>
        </w:p>
        <w:p w14:paraId="0324D247">
          <w:pPr>
            <w:spacing w:line="294" w:lineRule="auto"/>
            <w:rPr>
              <w:rFonts w:ascii="Arial"/>
              <w:sz w:val="21"/>
            </w:rPr>
          </w:pPr>
        </w:p>
        <w:p w14:paraId="21798992">
          <w:pPr>
            <w:pStyle w:val="2"/>
            <w:tabs>
              <w:tab w:val="right" w:leader="dot" w:pos="9586"/>
            </w:tabs>
            <w:spacing w:before="110" w:line="186" w:lineRule="auto"/>
            <w:rPr>
              <w:rFonts w:ascii="Times New Roman" w:hAnsi="Times New Roman" w:eastAsia="Times New Roman" w:cs="Times New Roman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4"/>
              <w:lang w:val="en-US" w:eastAsia="en-US" w:bidi="ar-SA"/>
            </w:rPr>
            <w:t>VIII. Принадлежности 11 11</w: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4"/>
              <w:lang w:val="en-US" w:eastAsia="en-US" w:bidi="ar-SA"/>
            </w:rPr>
            <w:tab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4"/>
              <w:lang w:val="en-US" w:eastAsia="en-US" w:bidi="ar-SA"/>
            </w:rPr>
            <w:t xml:space="preserve"/>
          </w:r>
        </w:p>
      </w:sdtContent>
    </w:sdt>
    <w:p w14:paraId="4364366B">
      <w:pPr>
        <w:spacing w:line="186" w:lineRule="auto"/>
        <w:rPr>
          <w:rFonts w:ascii="Times New Roman" w:hAnsi="Times New Roman" w:eastAsia="Times New Roman" w:cs="Times New Roman"/>
        </w:rPr>
        <w:sectPr>
          <w:pgSz w:w="11850" w:h="16783"/>
          <w:pgMar w:top="1426" w:right="1129" w:bottom="0" w:left="1134" w:header="0" w:footer="0" w:gutter="0"/>
          <w:cols w:space="720" w:num="1"/>
        </w:sectPr>
      </w:pPr>
    </w:p>
    <w:p w14:paraId="290D1A49">
      <w:pPr>
        <w:pStyle w:val="2"/>
        <w:spacing w:before="62" w:line="193" w:lineRule="auto"/>
        <w:ind w:left="4136"/>
        <w:rPr>
          <w:rFonts w:hint="default"/>
          <w:sz w:val="31"/>
          <w:szCs w:val="31"/>
          <w:lang w:val="en-US"/>
        </w:rPr>
      </w:pPr>
      <w:bookmarkStart w:id="0" w:name="bookmark32"/>
      <w:bookmarkEnd w:id="0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5"/>
          <w:kern w:val="0"/>
          <w:sz w:val="31"/>
          <w:szCs w:val="31"/>
          <w:lang w:val="en-US" w:eastAsia="en-US" w:bidi="ar-SA"/>
        </w:rPr>
        <w:t>Указания по использованию</w:t>
      </w:r>
    </w:p>
    <w:p w14:paraId="10CC7714">
      <w:pPr>
        <w:spacing w:line="303" w:lineRule="auto"/>
        <w:rPr>
          <w:rFonts w:ascii="Arial"/>
          <w:sz w:val="21"/>
        </w:rPr>
      </w:pPr>
    </w:p>
    <w:p w14:paraId="3C58F760">
      <w:pPr>
        <w:spacing w:line="304" w:lineRule="auto"/>
        <w:rPr>
          <w:rFonts w:ascii="Arial"/>
          <w:sz w:val="21"/>
        </w:rPr>
      </w:pPr>
    </w:p>
    <w:p w14:paraId="7CD125E3">
      <w:pPr>
        <w:pStyle w:val="2"/>
        <w:spacing w:before="109" w:line="183" w:lineRule="auto"/>
        <w:ind w:left="46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Перед использованием газоанализатора прочитайте следующие меры предосторожности.</w:t>
      </w:r>
    </w:p>
    <w:p w14:paraId="6D3ED164">
      <w:pPr>
        <w:pStyle w:val="2"/>
        <w:spacing w:before="151" w:line="230" w:lineRule="auto"/>
        <w:ind w:left="402" w:hanging="402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3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Повреждённые газоанализаторы использовать нельзя. Перед эксплуатацией проверьте корпус на наличие трещин или отсутствующих компонентов. Если газоанализатор повреждён или отсутствуют детали, немедленно свяжитесь с нашей компанией или авторизованным дилером.</w:t>
      </w:r>
    </w:p>
    <w:p w14:paraId="10576892">
      <w:pPr>
        <w:pStyle w:val="2"/>
        <w:spacing w:before="150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5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Самостоятельная замена компонентов может нарушить внутреннюю безопасность газоанализатора.</w:t>
      </w:r>
    </w:p>
    <w:p w14:paraId="6B6466AE">
      <w:pPr>
        <w:pStyle w:val="2"/>
        <w:spacing w:before="136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7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Газоанализаторы не должны подвергаться воздействию электрического удара или среды с сильной непрерывной механической вибрацией.</w:t>
      </w:r>
    </w:p>
    <w:p w14:paraId="5D0A3546">
      <w:pPr>
        <w:pStyle w:val="2"/>
        <w:spacing w:before="136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9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Отслужившие аккумуляторы и датчики должны утилизироваться квалифицированными организациями по переработке или обращению с опасными отходами и не должны выбрасываться в мусорные контейнеры без разбора.</w:t>
      </w:r>
    </w:p>
    <w:p w14:paraId="635C5852">
      <w:pPr>
        <w:pStyle w:val="2"/>
        <w:spacing w:before="133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11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Не разбирайте аккумуляторы и не помещайте их в огонь, избегайте короткого замыкания между положительной и отрицательной клеммами, так как это может привести к пожарам или взрывам.</w:t>
      </w:r>
    </w:p>
    <w:p w14:paraId="1D3BE5D3">
      <w:pPr>
        <w:pStyle w:val="2"/>
        <w:spacing w:before="136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13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Запрещается несанкционированная разборка, регулировка или ремонт данного газоанализатора.</w:t>
      </w:r>
    </w:p>
    <w:p w14:paraId="263EA851">
      <w:pPr>
        <w:pStyle w:val="2"/>
        <w:spacing w:before="135" w:line="234" w:lineRule="auto"/>
        <w:ind w:left="402" w:hanging="402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15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Не допускайте попадания воды, химических растворителей, бензола или бензина на газоанализатор и избегайте вдыхания таких веществ, так как это может вызвать неисправность газоанализатора.</w:t>
      </w:r>
    </w:p>
    <w:p w14:paraId="00E2B363">
      <w:pPr>
        <w:pStyle w:val="2"/>
        <w:spacing w:before="139" w:line="191" w:lineRule="auto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17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Предотвращайте падение устройства с высоты или воздействие сильной вибрации</w:t>
      </w:r>
    </w:p>
    <w:p w14:paraId="268175B7">
      <w:pPr>
        <w:pStyle w:val="2"/>
        <w:spacing w:before="114" w:line="215" w:lineRule="auto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19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2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Для обеспечения точности измерений газоанализатора требуется регулярная калибровка газоанализатора (не реже одного раза в год).</w:t>
      </w:r>
    </w:p>
    <w:p w14:paraId="6B01D7CD">
      <w:pPr>
        <w:pStyle w:val="2"/>
        <w:spacing w:before="133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21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Следует избегать частого искусственного воздействия на газоанализатор токсичных газов высокой концентрации.</w:t>
      </w:r>
    </w:p>
    <w:p w14:paraId="048C45DA">
      <w:pPr>
        <w:pStyle w:val="2"/>
        <w:spacing w:before="136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23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Датчик нельзя использовать далее при его неисправности или превышении срока службы.</w:t>
      </w:r>
    </w:p>
    <w:p w14:paraId="5A72DE01">
      <w:pPr>
        <w:pStyle w:val="2"/>
        <w:spacing w:before="135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25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Перед использованием данного прибора внимательно ознакомьтесь с руководством по эксплуатации и строго соблюдайте изложенные в нём процедуры.</w:t>
      </w:r>
    </w:p>
    <w:p w14:paraId="2D495466">
      <w:pPr>
        <w:pStyle w:val="2"/>
        <w:spacing w:before="136" w:line="197" w:lineRule="auto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27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В случае применения, выходящего за рамки описанного в данном руководстве, или при возникновении вопросов, связанных с эксплуатацией, обратитесь за помощью к дистрибьютору или производителю.</w:t>
      </w:r>
    </w:p>
    <w:p w14:paraId="5E67D81A">
      <w:pPr>
        <w:spacing w:line="197" w:lineRule="auto"/>
        <w:sectPr>
          <w:pgSz w:w="11850" w:h="16783"/>
          <w:pgMar w:top="1239" w:right="1136" w:bottom="0" w:left="1152" w:header="0" w:footer="0" w:gutter="0"/>
          <w:cols w:space="720" w:num="1"/>
        </w:sectPr>
      </w:pPr>
    </w:p>
    <w:p w14:paraId="0E3407C0">
      <w:pPr>
        <w:pStyle w:val="2"/>
        <w:spacing w:before="54" w:line="189" w:lineRule="auto"/>
        <w:ind w:left="6"/>
        <w:outlineLvl w:val="0"/>
        <w:rPr>
          <w:rFonts w:hint="default"/>
          <w:sz w:val="28"/>
          <w:szCs w:val="28"/>
          <w:lang w:val="en-US"/>
        </w:rPr>
      </w:pPr>
      <w:bookmarkStart w:id="1" w:name="bookmark2"/>
      <w:bookmarkEnd w:id="1"/>
      <w:bookmarkStart w:id="2" w:name="bookmark3"/>
      <w:bookmarkEnd w:id="2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I. Обзор</w:t>
      </w:r>
    </w:p>
    <w:p w14:paraId="329FED9E">
      <w:pPr>
        <w:pStyle w:val="2"/>
        <w:spacing w:before="108" w:line="272" w:lineRule="auto"/>
        <w:ind w:right="69" w:firstLine="490"/>
        <w:jc w:val="both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OT139 — высокочувствительный промышленный портативный многокомпонентный газоанализатор, предназначенный для взрывозащищённых сред, включая сценарии ликвидации аварийных утечек газа и подземные трубопроводные системы в шахтах. Он эффективно обеспечивает безопасность персонала и предотвращает повреждение оборудования. В основном используется для обнаружения утечек газа в трубопроводах; устройство может идентифицировать различные газы в зависимости от типов датчиков. Отличаясь компактными размерами, удобством эксплуатации и отличной портативностью, он обладает повышенной виброустойчивостью. Оснащённый технологией высокоразрешающего точечно-матричного ЖК-дисплея, продукт обеспечивает интуитивное и кристально чёткое визуальное представление.</w:t>
      </w:r>
    </w:p>
    <w:p w14:paraId="2B49E23A">
      <w:pPr>
        <w:pStyle w:val="2"/>
        <w:spacing w:before="3" w:line="270" w:lineRule="auto"/>
        <w:ind w:left="20" w:right="70" w:firstLine="470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1"/>
          <w:kern w:val="0"/>
          <w:sz w:val="24"/>
          <w:szCs w:val="24"/>
          <w:lang w:val="en-US" w:eastAsia="en-US" w:bidi="ar-SA"/>
        </w:rPr>
        <w:t>Он подходит для зон с взрывоопасными газовыми смесями зоны 1 и зоны 2 классов IA и IB. Пыленепроницаемые оболочки используются для зон 21 и 22.</w:t>
      </w:r>
    </w:p>
    <w:p w14:paraId="57B0E36C">
      <w:pPr>
        <w:pStyle w:val="2"/>
        <w:spacing w:before="1" w:line="228" w:lineRule="auto"/>
        <w:ind w:left="2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1.1 Конструкция, изготовление и поверка данного изделия соответствуют следующим национальным стандартам</w:t>
      </w:r>
    </w:p>
    <w:p w14:paraId="49B76DFA">
      <w:pPr>
        <w:pStyle w:val="2"/>
        <w:spacing w:before="77" w:line="229" w:lineRule="auto"/>
        <w:ind w:left="10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GB/T 3836.1-2021 Взрывоопасные среды. Часть 1: Общие требования к оборудованию</w:t>
      </w:r>
    </w:p>
    <w:p w14:paraId="093BA3E2">
      <w:pPr>
        <w:pStyle w:val="2"/>
        <w:spacing w:before="77" w:line="272" w:lineRule="auto"/>
        <w:ind w:left="10" w:right="142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GB/T 3836.4-2021 Взрывоопасные среды. Часть 4. Оборудование, защищённое искробезопасной электрической цепью "i" GB/T 4208-2017 Классификация степеней защиты оболочек (код IP)</w:t>
      </w:r>
    </w:p>
    <w:p w14:paraId="19AEF04B">
      <w:pPr>
        <w:pStyle w:val="2"/>
        <w:spacing w:line="228" w:lineRule="auto"/>
        <w:ind w:left="10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GB 12358—2024 Приборы для обнаружения и сигнализации газов в окружающей среде на рабочих местах. Общие технические требования</w:t>
      </w:r>
    </w:p>
    <w:p w14:paraId="69CAFC10">
      <w:pPr>
        <w:pStyle w:val="2"/>
        <w:spacing w:before="77" w:line="229" w:lineRule="auto"/>
        <w:ind w:left="23"/>
        <w:outlineLvl w:val="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1.2 Описание модели</w:t>
      </w:r>
    </w:p>
    <w:p w14:paraId="2AFF035D">
      <w:pPr>
        <w:pStyle w:val="2"/>
        <w:spacing w:before="249" w:line="189" w:lineRule="auto"/>
        <w:ind w:left="48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Значения модели и кода газоанализатора следующие:</w:t>
      </w:r>
    </w:p>
    <w:p w14:paraId="7BD2F75E">
      <w:pPr>
        <w:pStyle w:val="2"/>
        <w:spacing w:before="235" w:line="241" w:lineRule="auto"/>
        <w:ind w:left="900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OT 139</w:t>
      </w:r>
    </w:p>
    <w:p w14:paraId="14CD9604">
      <w:pPr>
        <w:spacing w:line="325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494665</wp:posOffset>
            </wp:positionH>
            <wp:positionV relativeFrom="paragraph">
              <wp:posOffset>52070</wp:posOffset>
            </wp:positionV>
            <wp:extent cx="2671445" cy="77025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1457" cy="770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0BCB1D">
      <w:pPr>
        <w:spacing w:line="326" w:lineRule="auto"/>
        <w:rPr>
          <w:rFonts w:ascii="Arial"/>
          <w:sz w:val="21"/>
        </w:rPr>
      </w:pPr>
    </w:p>
    <w:p w14:paraId="0AA9F9E4">
      <w:pPr>
        <w:pStyle w:val="2"/>
        <w:spacing w:before="110" w:line="235" w:lineRule="auto"/>
        <w:ind w:left="5185" w:right="3496" w:firstLine="1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Серийный номер разработки Тип изделия</w:t>
      </w:r>
    </w:p>
    <w:p w14:paraId="3BEE90AE">
      <w:pPr>
        <w:spacing w:line="325" w:lineRule="auto"/>
        <w:rPr>
          <w:rFonts w:ascii="Arial"/>
          <w:sz w:val="21"/>
        </w:rPr>
      </w:pPr>
    </w:p>
    <w:p w14:paraId="3F9CF7C2">
      <w:pPr>
        <w:pStyle w:val="2"/>
        <w:spacing w:before="109" w:line="222" w:lineRule="auto"/>
        <w:jc w:val="right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OT139, где OT обозначает форму продукта, указывающую на портативный газоанализатор; 139 — серийный номер разработки, указывающий на многокомпонентную комбинированную конфигурацию газа.</w:t>
      </w:r>
    </w:p>
    <w:p w14:paraId="19F8326C">
      <w:pPr>
        <w:pStyle w:val="2"/>
        <w:spacing w:before="175" w:line="229" w:lineRule="auto"/>
        <w:ind w:left="2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1.3 Основные функции и особенности</w:t>
      </w:r>
    </w:p>
    <w:p w14:paraId="110E247F">
      <w:pPr>
        <w:pStyle w:val="2"/>
        <w:spacing w:before="54" w:line="227" w:lineRule="auto"/>
        <w:ind w:left="2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1. Цветной дисплей большого размера с китайским интерфейсом</w:t>
      </w:r>
    </w:p>
    <w:p w14:paraId="04F4FCF3">
      <w:pPr>
        <w:pStyle w:val="2"/>
        <w:spacing w:before="1" w:line="226" w:lineRule="auto"/>
        <w:ind w:left="1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2. Ёмкостный сенсорный ввод + управление кнопками</w:t>
      </w:r>
    </w:p>
    <w:p w14:paraId="1FEE4678">
      <w:pPr>
        <w:pStyle w:val="2"/>
        <w:spacing w:before="1" w:line="225" w:lineRule="auto"/>
        <w:ind w:left="15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3. Быстрое обнаружение точек утечки газа</w:t>
      </w:r>
    </w:p>
    <w:p w14:paraId="2E747BBB">
      <w:pPr>
        <w:pStyle w:val="2"/>
        <w:spacing w:before="2" w:line="226" w:lineRule="auto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4. Выгрузка данных в облако в реальном времени</w:t>
      </w:r>
    </w:p>
    <w:p w14:paraId="58AF3A57">
      <w:pPr>
        <w:pStyle w:val="2"/>
        <w:spacing w:before="1" w:line="225" w:lineRule="auto"/>
        <w:ind w:left="1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5. Индикация низкого напряжения и автоматическое отключение при пониженном напряжении</w:t>
      </w:r>
    </w:p>
    <w:p w14:paraId="306C7CE7">
      <w:pPr>
        <w:pStyle w:val="2"/>
        <w:spacing w:before="1" w:line="225" w:lineRule="auto"/>
        <w:ind w:left="1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6. Обнаружение неисправности датчика и функция самодиагностики при включении</w:t>
      </w:r>
    </w:p>
    <w:p w14:paraId="65DE673A">
      <w:pPr>
        <w:pStyle w:val="2"/>
        <w:spacing w:before="1" w:line="221" w:lineRule="auto"/>
        <w:ind w:left="1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7. Быстрый прогрев и быстрое время отклика</w:t>
      </w:r>
    </w:p>
    <w:p w14:paraId="7C8EB0FC">
      <w:pPr>
        <w:spacing w:line="221" w:lineRule="auto"/>
        <w:sectPr>
          <w:footerReference r:id="rId5" w:type="default"/>
          <w:pgSz w:w="11850" w:h="16783"/>
          <w:pgMar w:top="1194" w:right="1064" w:bottom="875" w:left="1134" w:header="0" w:footer="685" w:gutter="0"/>
          <w:cols w:space="720" w:num="1"/>
        </w:sectPr>
      </w:pPr>
    </w:p>
    <w:p w14:paraId="197A7403">
      <w:pPr>
        <w:pStyle w:val="2"/>
        <w:spacing w:before="61" w:line="227" w:lineRule="auto"/>
        <w:ind w:left="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8. Звуко-вибрационный сигнал тревоги</w:t>
      </w:r>
    </w:p>
    <w:p w14:paraId="11FFA8EE">
      <w:pPr>
        <w:pStyle w:val="2"/>
        <w:spacing w:line="221" w:lineRule="auto"/>
        <w:ind w:left="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9. Удобная регулировка нулевой точки для быстрой и простой работы</w:t>
      </w:r>
    </w:p>
    <w:p w14:paraId="180040B0">
      <w:pPr>
        <w:pStyle w:val="2"/>
        <w:spacing w:before="7" w:line="229" w:lineRule="auto"/>
        <w:ind w:left="16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10. Возможность обнаружения до восьми газов в свободной комбинации</w:t>
      </w:r>
    </w:p>
    <w:p w14:paraId="437C370B">
      <w:pPr>
        <w:spacing w:line="339" w:lineRule="auto"/>
        <w:rPr>
          <w:rFonts w:ascii="Arial"/>
          <w:sz w:val="21"/>
        </w:rPr>
      </w:pPr>
    </w:p>
    <w:p w14:paraId="48520443">
      <w:pPr>
        <w:pStyle w:val="2"/>
        <w:spacing w:before="128" w:line="189" w:lineRule="auto"/>
        <w:outlineLvl w:val="0"/>
        <w:rPr>
          <w:rFonts w:hint="default"/>
          <w:sz w:val="28"/>
          <w:szCs w:val="28"/>
          <w:lang w:val="en-US"/>
        </w:rPr>
      </w:pPr>
      <w:bookmarkStart w:id="3" w:name="bookmark5"/>
      <w:bookmarkEnd w:id="3"/>
      <w:bookmarkStart w:id="4" w:name="bookmark4"/>
      <w:bookmarkEnd w:id="4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II. Основные технические характеристики</w:t>
      </w:r>
    </w:p>
    <w:p w14:paraId="187D6F85">
      <w:pPr>
        <w:pStyle w:val="2"/>
        <w:spacing w:before="114" w:line="230" w:lineRule="auto"/>
        <w:ind w:left="11"/>
        <w:rPr>
          <w:rFonts w:hint="default"/>
          <w:sz w:val="15"/>
          <w:szCs w:val="15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29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3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position w:val="-3"/>
          <w:sz w:val="15"/>
          <w:szCs w:val="15"/>
          <w:lang w:val="en-US" w:eastAsia="en-US" w:bidi="ar-SA"/>
        </w:rPr>
        <w:t>Обнаруживаемые газы: горючие газы/токсичные и вредные газы/O2</w:t>
      </w:r>
    </w:p>
    <w:p w14:paraId="2ABE3C27">
      <w:pPr>
        <w:pStyle w:val="2"/>
        <w:spacing w:before="95" w:line="215" w:lineRule="auto"/>
        <w:jc w:val="right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32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Диапазон измерений: (3–100)%LEL (горючие); (0–100)µmol/mol (токсичные) (доступны несколько диапазонов)</w:t>
      </w:r>
    </w:p>
    <w:p w14:paraId="0034FAF6">
      <w:pPr>
        <w:pStyle w:val="2"/>
        <w:spacing w:before="123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34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Класс точности: ± 3%FS (горючие); ± 5 µmol/mol или ±10% (токсичные) (в зависимости от конкретного газа)</w:t>
      </w:r>
    </w:p>
    <w:p w14:paraId="2AED4864">
      <w:pPr>
        <w:pStyle w:val="2"/>
        <w:spacing w:before="124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36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Уставка предупредительной сигнализации: 20% LEL (горючие)</w:t>
      </w:r>
    </w:p>
    <w:p w14:paraId="5376CF25">
      <w:pPr>
        <w:pStyle w:val="2"/>
        <w:spacing w:before="123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38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4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Время отклика: ≤ 30 с</w:t>
      </w:r>
    </w:p>
    <w:p w14:paraId="54D9C5CA">
      <w:pPr>
        <w:pStyle w:val="2"/>
        <w:spacing w:before="124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40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Повторяемость: ≤ 2%</w:t>
      </w:r>
    </w:p>
    <w:p w14:paraId="37F85A8E">
      <w:pPr>
        <w:pStyle w:val="2"/>
        <w:spacing w:before="155" w:line="197" w:lineRule="auto"/>
        <w:ind w:left="11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42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Способ обнаружения: принудительный отбор проб насосом</w:t>
      </w:r>
    </w:p>
    <w:p w14:paraId="14C08DA6">
      <w:pPr>
        <w:pStyle w:val="2"/>
        <w:spacing w:before="157" w:line="197" w:lineRule="auto"/>
        <w:ind w:left="11"/>
        <w:rPr>
          <w:rFonts w:hint="default"/>
          <w:lang w:val="en-US"/>
        </w:rPr>
      </w:pPr>
      <w:r>
        <w:rPr>
          <w:position w:val="-4"/>
        </w:rPr>
        <w:drawing>
          <wp:inline distT="0" distB="0" distL="0" distR="0">
            <wp:extent cx="107950" cy="168275"/>
            <wp:effectExtent l="0" t="0" r="19050" b="8255"/>
            <wp:docPr id="44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Принцип обнаружения: термокаталитический тип; электрохимический тип</w:t>
      </w:r>
    </w:p>
    <w:p w14:paraId="3FBC79CD">
      <w:pPr>
        <w:pStyle w:val="2"/>
        <w:spacing w:before="123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46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Напряжение электропитания: DC7.4 В</w:t>
      </w:r>
    </w:p>
    <w:p w14:paraId="771D780E">
      <w:pPr>
        <w:pStyle w:val="2"/>
        <w:spacing w:before="122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48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5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Модель аккумулятора: FRT-FB182S01C</w:t>
      </w:r>
    </w:p>
    <w:p w14:paraId="306FFBA9">
      <w:pPr>
        <w:pStyle w:val="2"/>
        <w:spacing w:before="125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50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Ёмкость аккумулятора: 3000 мА·ч, литий-ионный аккумулятор</w:t>
      </w:r>
    </w:p>
    <w:p w14:paraId="50EE5BA4">
      <w:pPr>
        <w:pStyle w:val="2"/>
        <w:spacing w:before="122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52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Температура окружающей среды: от -10°C до 55°C</w:t>
      </w:r>
    </w:p>
    <w:p w14:paraId="67BCED05">
      <w:pPr>
        <w:pStyle w:val="2"/>
        <w:spacing w:before="125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54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Относительная влажность: (20～93)% (без конденсации)</w:t>
      </w:r>
    </w:p>
    <w:p w14:paraId="0298842E">
      <w:pPr>
        <w:pStyle w:val="2"/>
        <w:spacing w:before="122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56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Время прогрева: ≤ 30 с</w:t>
      </w:r>
    </w:p>
    <w:p w14:paraId="3D5F52A5">
      <w:pPr>
        <w:pStyle w:val="2"/>
        <w:spacing w:before="156" w:line="191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58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6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Способ отображения: цветной ЖК-дисплей</w:t>
      </w:r>
    </w:p>
    <w:p w14:paraId="4C4C34AA">
      <w:pPr>
        <w:pStyle w:val="2"/>
        <w:spacing w:before="135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60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Время зарядки: менее 5 часов</w:t>
      </w:r>
    </w:p>
    <w:p w14:paraId="107D2A23">
      <w:pPr>
        <w:pStyle w:val="2"/>
        <w:spacing w:before="122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62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Время непрерывной работы: не менее 12 часов</w:t>
      </w:r>
    </w:p>
    <w:p w14:paraId="4A4B96D4">
      <w:pPr>
        <w:pStyle w:val="2"/>
        <w:spacing w:before="125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64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Номер сертификата взрывозащиты: CNEx23.1393X</w:t>
      </w:r>
    </w:p>
    <w:p w14:paraId="7D43F29C">
      <w:pPr>
        <w:pStyle w:val="2"/>
        <w:spacing w:before="122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66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Маркировка взрывозащиты: Ex ib ⅡB T4 Gb / Ex ib ⅢC T130℃ Db</w:t>
      </w:r>
    </w:p>
    <w:p w14:paraId="567DE314">
      <w:pPr>
        <w:pStyle w:val="2"/>
        <w:spacing w:before="123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68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7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Степень защиты: IP66 или выше</w:t>
      </w:r>
    </w:p>
    <w:p w14:paraId="76347754">
      <w:pPr>
        <w:pStyle w:val="2"/>
        <w:spacing w:before="124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70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5"/>
          <w:kern w:val="0"/>
          <w:sz w:val="24"/>
          <w:szCs w:val="24"/>
          <w:lang w:val="en-US" w:eastAsia="en-US" w:bidi="ar-SA"/>
        </w:rPr>
        <w:t>Габаритные размеры: 190x85x41 (мм)</w:t>
      </w:r>
    </w:p>
    <w:p w14:paraId="53805ADA">
      <w:pPr>
        <w:pStyle w:val="2"/>
        <w:spacing w:before="122" w:line="215" w:lineRule="auto"/>
        <w:ind w:left="11"/>
        <w:rPr>
          <w:rFonts w:hint="default"/>
          <w:lang w:val="en-US"/>
        </w:rPr>
      </w:pPr>
      <w:r>
        <w:rPr>
          <w:position w:val="-5"/>
        </w:rPr>
        <w:drawing>
          <wp:inline distT="0" distB="0" distL="0" distR="0">
            <wp:extent cx="107950" cy="168275"/>
            <wp:effectExtent l="0" t="0" r="19050" b="8255"/>
            <wp:docPr id="72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Масса: примерно 800 г</w:t>
      </w:r>
    </w:p>
    <w:p w14:paraId="4773A978">
      <w:pPr>
        <w:pStyle w:val="2"/>
        <w:spacing w:before="168" w:line="189" w:lineRule="auto"/>
        <w:ind w:left="475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Для получения параметров конкретных типов газов обратитесь в службу поддержки клиентов.</w:t>
      </w:r>
    </w:p>
    <w:p w14:paraId="2D942687">
      <w:pPr>
        <w:spacing w:line="189" w:lineRule="auto"/>
        <w:sectPr>
          <w:footerReference r:id="rId6" w:type="default"/>
          <w:pgSz w:w="11850" w:h="16783"/>
          <w:pgMar w:top="1123" w:right="1149" w:bottom="875" w:left="1141" w:header="0" w:footer="685" w:gutter="0"/>
          <w:cols w:space="720" w:num="1"/>
        </w:sectPr>
      </w:pPr>
    </w:p>
    <w:p w14:paraId="182817F1">
      <w:pPr>
        <w:pStyle w:val="2"/>
        <w:spacing w:before="55" w:line="190" w:lineRule="auto"/>
        <w:ind w:left="119"/>
        <w:outlineLvl w:val="0"/>
        <w:rPr>
          <w:rFonts w:hint="default"/>
          <w:sz w:val="28"/>
          <w:szCs w:val="28"/>
          <w:lang w:val="en-US"/>
        </w:rPr>
      </w:pPr>
      <w:bookmarkStart w:id="5" w:name="bookmark6"/>
      <w:bookmarkEnd w:id="5"/>
      <w:bookmarkStart w:id="6" w:name="bookmark1"/>
      <w:bookmarkEnd w:id="6"/>
      <w:bookmarkStart w:id="7" w:name="bookmark1"/>
      <w:bookmarkEnd w:id="7"/>
      <w:bookmarkStart w:id="8" w:name="bookmark7"/>
      <w:bookmarkEnd w:id="8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III. Внешний вид и функциональная индикация</w:t>
      </w:r>
    </w:p>
    <w:p w14:paraId="11193B66">
      <w:pPr>
        <w:pStyle w:val="2"/>
        <w:spacing w:before="212" w:line="233" w:lineRule="auto"/>
        <w:ind w:left="130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3"/>
          <w:kern w:val="0"/>
          <w:sz w:val="24"/>
          <w:szCs w:val="24"/>
          <w:lang w:val="en-US" w:eastAsia="en-US" w:bidi="ar-SA"/>
        </w:rPr>
        <w:t>3.1 Внешний вид оборудования</w:t>
      </w:r>
    </w:p>
    <w:p w14:paraId="18C48908">
      <w:pPr>
        <w:spacing w:before="129" w:line="6384" w:lineRule="exact"/>
        <w:ind w:firstLine="2648"/>
      </w:pPr>
      <w:r>
        <w:rPr>
          <w:position w:val="-127"/>
        </w:rPr>
        <w:drawing>
          <wp:inline distT="0" distB="0" distL="0" distR="0">
            <wp:extent cx="2865120" cy="405320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405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C8B5F">
      <w:pPr>
        <w:spacing w:before="155"/>
      </w:pPr>
    </w:p>
    <w:tbl>
      <w:tblPr>
        <w:tblStyle w:val="5"/>
        <w:tblW w:w="97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4"/>
        <w:gridCol w:w="3365"/>
        <w:gridCol w:w="1465"/>
        <w:gridCol w:w="3434"/>
      </w:tblGrid>
      <w:tr w14:paraId="28003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534" w:type="dxa"/>
            <w:vAlign w:val="top"/>
          </w:tcPr>
          <w:p w14:paraId="045D4EF2">
            <w:pPr>
              <w:spacing w:before="40" w:line="191" w:lineRule="auto"/>
              <w:ind w:left="532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порядковый номер</w:t>
            </w:r>
          </w:p>
        </w:tc>
        <w:tc>
          <w:tcPr>
            <w:tcW w:w="3365" w:type="dxa"/>
            <w:vAlign w:val="top"/>
          </w:tcPr>
          <w:p w14:paraId="3A85D63E">
            <w:pPr>
              <w:spacing w:before="41" w:line="191" w:lineRule="auto"/>
              <w:ind w:left="1450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en-US" w:bidi="ar-SA"/>
              </w:rPr>
              <w:t>название</w:t>
            </w:r>
          </w:p>
        </w:tc>
        <w:tc>
          <w:tcPr>
            <w:tcW w:w="1465" w:type="dxa"/>
            <w:vAlign w:val="top"/>
          </w:tcPr>
          <w:p w14:paraId="55434375">
            <w:pPr>
              <w:spacing w:before="40" w:line="191" w:lineRule="auto"/>
              <w:ind w:left="498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порядковый номер</w:t>
            </w:r>
          </w:p>
        </w:tc>
        <w:tc>
          <w:tcPr>
            <w:tcW w:w="3434" w:type="dxa"/>
            <w:vAlign w:val="top"/>
          </w:tcPr>
          <w:p w14:paraId="36E963F3">
            <w:pPr>
              <w:spacing w:before="41" w:line="191" w:lineRule="auto"/>
              <w:ind w:left="1485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en-US" w:bidi="ar-SA"/>
              </w:rPr>
              <w:t>название</w:t>
            </w:r>
          </w:p>
        </w:tc>
      </w:tr>
      <w:tr w14:paraId="1DF7D2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534" w:type="dxa"/>
            <w:vAlign w:val="top"/>
          </w:tcPr>
          <w:p w14:paraId="4A16AD2C">
            <w:pPr>
              <w:spacing w:before="79" w:line="188" w:lineRule="auto"/>
              <w:ind w:left="73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3365" w:type="dxa"/>
            <w:vAlign w:val="top"/>
          </w:tcPr>
          <w:p w14:paraId="58027F92">
            <w:pPr>
              <w:spacing w:before="37" w:line="191" w:lineRule="auto"/>
              <w:ind w:left="1325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забор воздуха</w:t>
            </w:r>
          </w:p>
        </w:tc>
        <w:tc>
          <w:tcPr>
            <w:tcW w:w="1465" w:type="dxa"/>
            <w:vAlign w:val="top"/>
          </w:tcPr>
          <w:p w14:paraId="52145A57">
            <w:pPr>
              <w:spacing w:before="79" w:line="188" w:lineRule="auto"/>
              <w:ind w:left="68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3434" w:type="dxa"/>
            <w:vAlign w:val="top"/>
          </w:tcPr>
          <w:p w14:paraId="51095DDB">
            <w:pPr>
              <w:spacing w:before="38" w:line="190" w:lineRule="auto"/>
              <w:ind w:left="1375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Кнопка экстренного вызова</w:t>
            </w:r>
          </w:p>
        </w:tc>
      </w:tr>
      <w:tr w14:paraId="7EA7BA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534" w:type="dxa"/>
            <w:vAlign w:val="top"/>
          </w:tcPr>
          <w:p w14:paraId="15B9634C">
            <w:pPr>
              <w:spacing w:before="79" w:line="188" w:lineRule="auto"/>
              <w:ind w:left="709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3365" w:type="dxa"/>
            <w:vAlign w:val="top"/>
          </w:tcPr>
          <w:p w14:paraId="17C5C194">
            <w:pPr>
              <w:spacing w:before="37" w:line="191" w:lineRule="auto"/>
              <w:ind w:left="1327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вентиляционное отверстие</w:t>
            </w:r>
          </w:p>
        </w:tc>
        <w:tc>
          <w:tcPr>
            <w:tcW w:w="1465" w:type="dxa"/>
            <w:vAlign w:val="top"/>
          </w:tcPr>
          <w:p w14:paraId="2E165DF8">
            <w:pPr>
              <w:spacing w:before="82" w:line="185" w:lineRule="auto"/>
              <w:ind w:left="678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3434" w:type="dxa"/>
            <w:vAlign w:val="top"/>
          </w:tcPr>
          <w:p w14:paraId="4D7F9B0B">
            <w:pPr>
              <w:spacing w:before="37" w:line="191" w:lineRule="auto"/>
              <w:ind w:left="1365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Кнопка отмены</w:t>
            </w:r>
          </w:p>
        </w:tc>
      </w:tr>
      <w:tr w14:paraId="0F098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534" w:type="dxa"/>
            <w:vAlign w:val="top"/>
          </w:tcPr>
          <w:p w14:paraId="7CBC02A9">
            <w:pPr>
              <w:spacing w:before="81" w:line="188" w:lineRule="auto"/>
              <w:ind w:left="714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3365" w:type="dxa"/>
            <w:vAlign w:val="top"/>
          </w:tcPr>
          <w:p w14:paraId="0D0C69B1">
            <w:pPr>
              <w:spacing w:before="39" w:line="191" w:lineRule="auto"/>
              <w:ind w:left="1333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экран дисплея</w:t>
            </w:r>
          </w:p>
        </w:tc>
        <w:tc>
          <w:tcPr>
            <w:tcW w:w="1465" w:type="dxa"/>
            <w:vAlign w:val="top"/>
          </w:tcPr>
          <w:p w14:paraId="00F2EC16">
            <w:pPr>
              <w:spacing w:before="81" w:line="188" w:lineRule="auto"/>
              <w:ind w:left="684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3434" w:type="dxa"/>
            <w:vAlign w:val="top"/>
          </w:tcPr>
          <w:p w14:paraId="1E2DA790">
            <w:pPr>
              <w:spacing w:before="40" w:line="191" w:lineRule="auto"/>
              <w:ind w:left="1322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/ выключатель питания</w:t>
            </w:r>
          </w:p>
        </w:tc>
      </w:tr>
      <w:tr w14:paraId="5A037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534" w:type="dxa"/>
            <w:vAlign w:val="top"/>
          </w:tcPr>
          <w:p w14:paraId="202D613F">
            <w:pPr>
              <w:spacing w:before="81" w:line="188" w:lineRule="auto"/>
              <w:ind w:left="708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3365" w:type="dxa"/>
            <w:vAlign w:val="top"/>
          </w:tcPr>
          <w:p w14:paraId="15DA7C6F">
            <w:pPr>
              <w:spacing w:before="38" w:line="191" w:lineRule="auto"/>
              <w:ind w:left="1207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Сенсорная кнопка</w:t>
            </w:r>
          </w:p>
        </w:tc>
        <w:tc>
          <w:tcPr>
            <w:tcW w:w="1465" w:type="dxa"/>
            <w:vAlign w:val="top"/>
          </w:tcPr>
          <w:p w14:paraId="70E9D4E8">
            <w:pPr>
              <w:spacing w:before="81" w:line="188" w:lineRule="auto"/>
              <w:ind w:left="679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3434" w:type="dxa"/>
            <w:vAlign w:val="top"/>
          </w:tcPr>
          <w:p w14:paraId="4E730D0A">
            <w:pPr>
              <w:spacing w:before="40" w:line="191" w:lineRule="auto"/>
              <w:ind w:left="1362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Кнопка подтверждения</w:t>
            </w:r>
          </w:p>
        </w:tc>
      </w:tr>
      <w:tr w14:paraId="2B1B87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534" w:type="dxa"/>
            <w:vAlign w:val="top"/>
          </w:tcPr>
          <w:p w14:paraId="1A02F011">
            <w:pPr>
              <w:spacing w:before="87" w:line="185" w:lineRule="auto"/>
              <w:ind w:left="715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3365" w:type="dxa"/>
            <w:vAlign w:val="top"/>
          </w:tcPr>
          <w:p w14:paraId="6ABDF396">
            <w:pPr>
              <w:spacing w:before="41" w:line="191" w:lineRule="auto"/>
              <w:ind w:left="1328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кнопка направления</w:t>
            </w:r>
          </w:p>
        </w:tc>
        <w:tc>
          <w:tcPr>
            <w:tcW w:w="1465" w:type="dxa"/>
            <w:vAlign w:val="top"/>
          </w:tcPr>
          <w:p w14:paraId="5CADC5E3">
            <w:pPr>
              <w:spacing w:before="83" w:line="188" w:lineRule="auto"/>
              <w:ind w:left="638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5"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3434" w:type="dxa"/>
            <w:vAlign w:val="top"/>
          </w:tcPr>
          <w:p w14:paraId="49177634">
            <w:pPr>
              <w:spacing w:before="42" w:line="191" w:lineRule="auto"/>
              <w:ind w:left="1365"/>
              <w:rPr>
                <w:rFonts w:hint="default" w:ascii="PingFang SC" w:hAnsi="PingFang SC" w:eastAsia="PingFang SC" w:cs="PingFang SC"/>
                <w:sz w:val="24"/>
                <w:szCs w:val="24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Порт зарядки</w:t>
            </w:r>
          </w:p>
        </w:tc>
      </w:tr>
    </w:tbl>
    <w:p w14:paraId="338A3EAF">
      <w:pPr>
        <w:rPr>
          <w:rFonts w:ascii="Arial"/>
          <w:sz w:val="21"/>
        </w:rPr>
      </w:pPr>
    </w:p>
    <w:p w14:paraId="12652FD4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850" w:h="16783"/>
          <w:pgMar w:top="1191" w:right="1025" w:bottom="875" w:left="1021" w:header="0" w:footer="685" w:gutter="0"/>
          <w:cols w:space="720" w:num="1"/>
        </w:sectPr>
      </w:pPr>
    </w:p>
    <w:p w14:paraId="479275BC">
      <w:pPr>
        <w:pStyle w:val="2"/>
        <w:spacing w:before="62" w:line="233" w:lineRule="auto"/>
        <w:ind w:left="130"/>
        <w:rPr>
          <w:rFonts w:hint="default"/>
          <w:lang w:val="en-US"/>
        </w:rPr>
      </w:pPr>
      <w:bookmarkStart w:id="9" w:name="bookmark33"/>
      <w:bookmarkEnd w:id="9"/>
      <w:r>
        <w:rPr>
          <w:rFonts w:ascii="Times New Roman" w:hAnsi="PingFang SC" w:eastAsia="PingFang SC" w:cs="PingFang SC"/>
          <w:b/>
          <w:bCs/>
          <w:snapToGrid w:val="0"/>
          <w:color w:val="000000"/>
          <w:kern w:val="0"/>
          <w:sz w:val="24"/>
          <w:szCs w:val="24"/>
          <w:lang w:val="en-US" w:eastAsia="en-US" w:bidi="ar-SA"/>
        </w:rPr>
        <w:t>3.2 Описание интерфейса дисплея газоанализатора OT139</w:t>
      </w:r>
    </w:p>
    <w:p w14:paraId="74856185">
      <w:pPr>
        <w:spacing w:before="198" w:line="5312" w:lineRule="exact"/>
        <w:ind w:firstLine="2653"/>
      </w:pPr>
      <w:r>
        <w:rPr>
          <w:position w:val="-106"/>
        </w:rPr>
        <w:drawing>
          <wp:inline distT="0" distB="0" distL="0" distR="0">
            <wp:extent cx="2857500" cy="337248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7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6805D">
      <w:pPr>
        <w:spacing w:line="152" w:lineRule="exact"/>
      </w:pPr>
    </w:p>
    <w:tbl>
      <w:tblPr>
        <w:tblStyle w:val="5"/>
        <w:tblW w:w="98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0"/>
        <w:gridCol w:w="3372"/>
        <w:gridCol w:w="1471"/>
        <w:gridCol w:w="3439"/>
      </w:tblGrid>
      <w:tr w14:paraId="4E259C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40" w:type="dxa"/>
            <w:vAlign w:val="top"/>
          </w:tcPr>
          <w:p w14:paraId="445FBC5E">
            <w:pPr>
              <w:pStyle w:val="6"/>
              <w:spacing w:before="40" w:line="191" w:lineRule="auto"/>
              <w:ind w:left="53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порядковый номер</w:t>
            </w:r>
          </w:p>
        </w:tc>
        <w:tc>
          <w:tcPr>
            <w:tcW w:w="3372" w:type="dxa"/>
            <w:vAlign w:val="top"/>
          </w:tcPr>
          <w:p w14:paraId="233ACCEC">
            <w:pPr>
              <w:pStyle w:val="6"/>
              <w:spacing w:before="41" w:line="191" w:lineRule="auto"/>
              <w:ind w:left="145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en-US" w:bidi="ar-SA"/>
              </w:rPr>
              <w:t>название</w:t>
            </w:r>
          </w:p>
        </w:tc>
        <w:tc>
          <w:tcPr>
            <w:tcW w:w="1471" w:type="dxa"/>
            <w:vAlign w:val="top"/>
          </w:tcPr>
          <w:p w14:paraId="757DFFA0">
            <w:pPr>
              <w:pStyle w:val="6"/>
              <w:spacing w:before="40" w:line="191" w:lineRule="auto"/>
              <w:ind w:left="50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порядковый номер</w:t>
            </w:r>
          </w:p>
        </w:tc>
        <w:tc>
          <w:tcPr>
            <w:tcW w:w="3439" w:type="dxa"/>
            <w:vAlign w:val="top"/>
          </w:tcPr>
          <w:p w14:paraId="2B6CD9C8">
            <w:pPr>
              <w:pStyle w:val="6"/>
              <w:spacing w:before="41" w:line="191" w:lineRule="auto"/>
              <w:ind w:left="1487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en-US" w:bidi="ar-SA"/>
              </w:rPr>
              <w:t>название</w:t>
            </w:r>
          </w:p>
        </w:tc>
      </w:tr>
      <w:tr w14:paraId="29B841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540" w:type="dxa"/>
            <w:vAlign w:val="top"/>
          </w:tcPr>
          <w:p w14:paraId="558C6A76">
            <w:pPr>
              <w:spacing w:before="77" w:line="188" w:lineRule="auto"/>
              <w:ind w:left="734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3372" w:type="dxa"/>
            <w:vAlign w:val="top"/>
          </w:tcPr>
          <w:p w14:paraId="4F513121">
            <w:pPr>
              <w:pStyle w:val="6"/>
              <w:spacing w:before="37" w:line="191" w:lineRule="auto"/>
              <w:ind w:left="122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отображение времени</w:t>
            </w:r>
          </w:p>
        </w:tc>
        <w:tc>
          <w:tcPr>
            <w:tcW w:w="1471" w:type="dxa"/>
            <w:vAlign w:val="top"/>
          </w:tcPr>
          <w:p w14:paraId="32ECB54D">
            <w:pPr>
              <w:spacing w:before="77" w:line="188" w:lineRule="auto"/>
              <w:ind w:left="684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3439" w:type="dxa"/>
            <w:vAlign w:val="top"/>
          </w:tcPr>
          <w:p w14:paraId="200D1EBA">
            <w:pPr>
              <w:pStyle w:val="6"/>
              <w:spacing w:before="37" w:line="191" w:lineRule="auto"/>
              <w:ind w:left="124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Название газа</w:t>
            </w:r>
          </w:p>
        </w:tc>
      </w:tr>
      <w:tr w14:paraId="7FD91D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540" w:type="dxa"/>
            <w:vAlign w:val="top"/>
          </w:tcPr>
          <w:p w14:paraId="5560C251">
            <w:pPr>
              <w:spacing w:before="79" w:line="188" w:lineRule="auto"/>
              <w:ind w:left="711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3372" w:type="dxa"/>
            <w:vAlign w:val="top"/>
          </w:tcPr>
          <w:p w14:paraId="1EE696A4">
            <w:pPr>
              <w:pStyle w:val="6"/>
              <w:spacing w:before="38" w:line="191" w:lineRule="auto"/>
              <w:ind w:left="133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Переключатель насоса</w:t>
            </w:r>
          </w:p>
        </w:tc>
        <w:tc>
          <w:tcPr>
            <w:tcW w:w="1471" w:type="dxa"/>
            <w:vAlign w:val="top"/>
          </w:tcPr>
          <w:p w14:paraId="167C180A">
            <w:pPr>
              <w:spacing w:before="83" w:line="185" w:lineRule="auto"/>
              <w:ind w:left="68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3439" w:type="dxa"/>
            <w:vAlign w:val="top"/>
          </w:tcPr>
          <w:p w14:paraId="603B0596">
            <w:pPr>
              <w:pStyle w:val="6"/>
              <w:spacing w:before="37" w:line="191" w:lineRule="auto"/>
              <w:ind w:left="124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Номер газа</w:t>
            </w:r>
          </w:p>
        </w:tc>
      </w:tr>
      <w:tr w14:paraId="178239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540" w:type="dxa"/>
            <w:vAlign w:val="top"/>
          </w:tcPr>
          <w:p w14:paraId="6F19D0B4">
            <w:pPr>
              <w:spacing w:before="79" w:line="188" w:lineRule="auto"/>
              <w:ind w:left="716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3372" w:type="dxa"/>
            <w:vAlign w:val="top"/>
          </w:tcPr>
          <w:p w14:paraId="3BDD18D0">
            <w:pPr>
              <w:pStyle w:val="6"/>
              <w:spacing w:before="41" w:line="192" w:lineRule="auto"/>
              <w:ind w:left="145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PDA</w:t>
            </w:r>
          </w:p>
        </w:tc>
        <w:tc>
          <w:tcPr>
            <w:tcW w:w="1471" w:type="dxa"/>
            <w:vAlign w:val="top"/>
          </w:tcPr>
          <w:p w14:paraId="1E96BEFA">
            <w:pPr>
              <w:spacing w:before="79" w:line="188" w:lineRule="auto"/>
              <w:ind w:left="688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3439" w:type="dxa"/>
            <w:vAlign w:val="top"/>
          </w:tcPr>
          <w:p w14:paraId="1F49049F">
            <w:pPr>
              <w:pStyle w:val="6"/>
              <w:spacing w:before="40" w:line="191" w:lineRule="auto"/>
              <w:ind w:left="1486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правая кнопка</w:t>
            </w:r>
          </w:p>
        </w:tc>
      </w:tr>
      <w:tr w14:paraId="60E134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540" w:type="dxa"/>
            <w:vAlign w:val="top"/>
          </w:tcPr>
          <w:p w14:paraId="7F2C770F">
            <w:pPr>
              <w:spacing w:before="82" w:line="188" w:lineRule="auto"/>
              <w:ind w:left="71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3372" w:type="dxa"/>
            <w:vAlign w:val="top"/>
          </w:tcPr>
          <w:p w14:paraId="2FFF139A">
            <w:pPr>
              <w:spacing w:before="77" w:line="192" w:lineRule="auto"/>
              <w:ind w:left="1471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3"/>
                <w:kern w:val="0"/>
                <w:sz w:val="24"/>
                <w:szCs w:val="24"/>
                <w:lang w:val="en-US" w:eastAsia="en-US" w:bidi="ar-SA"/>
              </w:rPr>
              <w:t>Wifi</w:t>
            </w:r>
          </w:p>
        </w:tc>
        <w:tc>
          <w:tcPr>
            <w:tcW w:w="1471" w:type="dxa"/>
            <w:vAlign w:val="top"/>
          </w:tcPr>
          <w:p w14:paraId="4102E99E">
            <w:pPr>
              <w:spacing w:before="82" w:line="188" w:lineRule="auto"/>
              <w:ind w:left="683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3439" w:type="dxa"/>
            <w:vAlign w:val="top"/>
          </w:tcPr>
          <w:p w14:paraId="108D3BC1">
            <w:pPr>
              <w:pStyle w:val="6"/>
              <w:spacing w:before="39" w:line="191" w:lineRule="auto"/>
              <w:ind w:left="148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меню</w:t>
            </w:r>
          </w:p>
        </w:tc>
      </w:tr>
      <w:tr w14:paraId="127EDE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540" w:type="dxa"/>
            <w:vAlign w:val="top"/>
          </w:tcPr>
          <w:p w14:paraId="41EB8C04">
            <w:pPr>
              <w:spacing w:before="85" w:line="185" w:lineRule="auto"/>
              <w:ind w:left="718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3372" w:type="dxa"/>
            <w:vAlign w:val="top"/>
          </w:tcPr>
          <w:p w14:paraId="3E7729EB">
            <w:pPr>
              <w:pStyle w:val="6"/>
              <w:spacing w:before="42" w:line="191" w:lineRule="auto"/>
              <w:ind w:left="1211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Оставшийся заряд аккумулятора</w:t>
            </w:r>
          </w:p>
        </w:tc>
        <w:tc>
          <w:tcPr>
            <w:tcW w:w="1471" w:type="dxa"/>
            <w:vAlign w:val="top"/>
          </w:tcPr>
          <w:p w14:paraId="5D2C14D2">
            <w:pPr>
              <w:spacing w:before="82" w:line="188" w:lineRule="auto"/>
              <w:ind w:left="641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5"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3439" w:type="dxa"/>
            <w:vAlign w:val="top"/>
          </w:tcPr>
          <w:p w14:paraId="0BCE57AD">
            <w:pPr>
              <w:pStyle w:val="6"/>
              <w:spacing w:before="42" w:line="192" w:lineRule="auto"/>
              <w:ind w:left="1486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Левая кнопка</w:t>
            </w:r>
          </w:p>
        </w:tc>
      </w:tr>
    </w:tbl>
    <w:p w14:paraId="5968E98D">
      <w:pPr>
        <w:spacing w:line="317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4682490</wp:posOffset>
            </wp:positionH>
            <wp:positionV relativeFrom="paragraph">
              <wp:posOffset>192405</wp:posOffset>
            </wp:positionV>
            <wp:extent cx="1322705" cy="2572385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2831" cy="257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5376F2">
      <w:pPr>
        <w:spacing w:line="318" w:lineRule="auto"/>
        <w:rPr>
          <w:rFonts w:ascii="Arial"/>
          <w:sz w:val="21"/>
        </w:rPr>
      </w:pPr>
    </w:p>
    <w:p w14:paraId="0DAF98AC">
      <w:pPr>
        <w:pStyle w:val="2"/>
        <w:spacing w:before="127" w:line="190" w:lineRule="auto"/>
        <w:ind w:left="128"/>
        <w:outlineLvl w:val="0"/>
        <w:rPr>
          <w:rFonts w:hint="default"/>
          <w:sz w:val="28"/>
          <w:szCs w:val="28"/>
          <w:lang w:val="en-US"/>
        </w:rPr>
      </w:pPr>
      <w:bookmarkStart w:id="10" w:name="bookmark8"/>
      <w:bookmarkEnd w:id="10"/>
      <w:bookmarkStart w:id="11" w:name="bookmark9"/>
      <w:bookmarkEnd w:id="11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IV. Указания по эксплуатации</w:t>
      </w:r>
    </w:p>
    <w:p w14:paraId="7EB56D05">
      <w:pPr>
        <w:pStyle w:val="2"/>
        <w:spacing w:before="217" w:line="229" w:lineRule="auto"/>
        <w:ind w:left="11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4.1 Описание интерфейса дисплея портативного многокомпонентного газоанализатора OT139</w:t>
      </w:r>
    </w:p>
    <w:p w14:paraId="34240251">
      <w:pPr>
        <w:pStyle w:val="2"/>
        <w:spacing w:before="101" w:line="302" w:lineRule="auto"/>
        <w:ind w:left="114" w:right="2636" w:firstLine="480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В выключенном состоянии нажмите кнопку питания более 3 секунд. После вибрации устройства в качестве индикации включите его. Затем система автоматически выполнит процедуру самодиагностики и перейдёт в главный интерфейс, как показано на следующем рисунке:</w:t>
      </w:r>
    </w:p>
    <w:p w14:paraId="499D5D76">
      <w:pPr>
        <w:spacing w:line="253" w:lineRule="auto"/>
        <w:rPr>
          <w:rFonts w:ascii="Arial"/>
          <w:sz w:val="21"/>
        </w:rPr>
      </w:pPr>
    </w:p>
    <w:p w14:paraId="3A670288">
      <w:pPr>
        <w:spacing w:line="253" w:lineRule="auto"/>
        <w:rPr>
          <w:rFonts w:ascii="Arial"/>
          <w:sz w:val="21"/>
        </w:rPr>
      </w:pPr>
    </w:p>
    <w:p w14:paraId="2BE85E39">
      <w:pPr>
        <w:spacing w:line="253" w:lineRule="auto"/>
        <w:rPr>
          <w:rFonts w:ascii="Arial"/>
          <w:sz w:val="21"/>
        </w:rPr>
      </w:pPr>
    </w:p>
    <w:p w14:paraId="26D24575">
      <w:pPr>
        <w:spacing w:line="253" w:lineRule="auto"/>
        <w:rPr>
          <w:rFonts w:ascii="Arial"/>
          <w:sz w:val="21"/>
        </w:rPr>
      </w:pPr>
    </w:p>
    <w:p w14:paraId="06C80303">
      <w:pPr>
        <w:spacing w:line="253" w:lineRule="auto"/>
        <w:rPr>
          <w:rFonts w:ascii="Arial"/>
          <w:sz w:val="21"/>
        </w:rPr>
      </w:pPr>
    </w:p>
    <w:p w14:paraId="246D4F35">
      <w:pPr>
        <w:spacing w:line="254" w:lineRule="auto"/>
        <w:rPr>
          <w:rFonts w:ascii="Arial"/>
          <w:sz w:val="21"/>
        </w:rPr>
      </w:pPr>
    </w:p>
    <w:p w14:paraId="42685EA6">
      <w:pPr>
        <w:pStyle w:val="2"/>
        <w:spacing w:before="109" w:line="229" w:lineRule="auto"/>
        <w:ind w:left="11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4.2 Указания по выключению портативного многокомпонентного газоанализатора OT139</w:t>
      </w:r>
    </w:p>
    <w:p w14:paraId="4E92D1F2">
      <w:pPr>
        <w:pStyle w:val="2"/>
        <w:spacing w:before="101" w:line="222" w:lineRule="auto"/>
        <w:jc w:val="right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После включения прибора коснитесь кнопки меню на экране для входа в интерфейс меню. Коснитесь значка выключения и введите пароль "1111".</w:t>
      </w:r>
    </w:p>
    <w:p w14:paraId="1585081C">
      <w:pPr>
        <w:spacing w:line="222" w:lineRule="auto"/>
        <w:sectPr>
          <w:footerReference r:id="rId8" w:type="default"/>
          <w:pgSz w:w="11850" w:h="16783"/>
          <w:pgMar w:top="1224" w:right="1001" w:bottom="875" w:left="1021" w:header="0" w:footer="685" w:gutter="0"/>
          <w:cols w:space="720" w:num="1"/>
        </w:sectPr>
      </w:pPr>
    </w:p>
    <w:p w14:paraId="59D7EC09">
      <w:pPr>
        <w:pStyle w:val="2"/>
        <w:spacing w:before="61" w:line="222" w:lineRule="auto"/>
        <w:ind w:left="1"/>
        <w:rPr>
          <w:rFonts w:hint="default"/>
          <w:lang w:val="en-US"/>
        </w:rPr>
      </w:pPr>
      <w:bookmarkStart w:id="12" w:name="bookmark34"/>
      <w:bookmarkEnd w:id="12"/>
      <w:r>
        <w:rPr>
          <w:rFonts w:ascii="Times New Roman" w:hAnsi="PingFang SC" w:eastAsia="PingFang SC" w:cs="PingFang SC"/>
          <w:snapToGrid w:val="0"/>
          <w:color w:val="000000"/>
          <w:spacing w:val="3"/>
          <w:kern w:val="0"/>
          <w:sz w:val="24"/>
          <w:szCs w:val="24"/>
          <w:lang w:val="en-US" w:eastAsia="en-US" w:bidi="ar-SA"/>
        </w:rPr>
        <w:t>Нажмите ОК, чтобы выключить прибор. Как показано ниже:</w:t>
      </w:r>
    </w:p>
    <w:p w14:paraId="73D6206F">
      <w:pPr>
        <w:spacing w:before="79" w:line="3226" w:lineRule="exact"/>
        <w:ind w:firstLine="3821"/>
      </w:pPr>
      <w:r>
        <w:rPr>
          <w:position w:val="-64"/>
        </w:rPr>
        <w:drawing>
          <wp:inline distT="0" distB="0" distL="0" distR="0">
            <wp:extent cx="1228090" cy="204787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28343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EEE5F">
      <w:pPr>
        <w:pStyle w:val="2"/>
        <w:spacing w:before="282" w:line="229" w:lineRule="auto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4.3 Краткое руководство по эксплуатации портативного многокомпонентного газоанализатора OT139</w:t>
      </w:r>
    </w:p>
    <w:p w14:paraId="46D7C625">
      <w:pPr>
        <w:pStyle w:val="2"/>
        <w:spacing w:before="144" w:line="268" w:lineRule="auto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На главном интерфейсе нажмите кнопку "&lt;", чтобы перейти в интерфейс быстрых операций. Нажмите кнопку воздушного насоса, чтобы включить насос и начать измерение. Как показано на рисунке ниже:</w:t>
      </w:r>
    </w:p>
    <w:p w14:paraId="1FADB14E">
      <w:pPr>
        <w:spacing w:line="3235" w:lineRule="exact"/>
        <w:ind w:firstLine="3818"/>
      </w:pPr>
      <w:r>
        <w:rPr>
          <w:position w:val="-64"/>
        </w:rPr>
        <w:drawing>
          <wp:inline distT="0" distB="0" distL="0" distR="0">
            <wp:extent cx="1232535" cy="20542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32916" cy="205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9E14">
      <w:pPr>
        <w:pStyle w:val="2"/>
        <w:spacing w:before="280" w:line="228" w:lineRule="auto"/>
        <w:outlineLvl w:val="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4.4 Функции параметров портативного многокомпонентного газоанализатора OT139</w:t>
      </w:r>
    </w:p>
    <w:p w14:paraId="6A09B411">
      <w:pPr>
        <w:pStyle w:val="2"/>
        <w:spacing w:before="147" w:line="190" w:lineRule="auto"/>
        <w:ind w:left="4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Описание функций пользовательского меню см. в таблице ниже:</w:t>
      </w:r>
    </w:p>
    <w:p w14:paraId="02E83F33">
      <w:pPr>
        <w:pStyle w:val="2"/>
        <w:spacing w:before="190" w:line="189" w:lineRule="auto"/>
        <w:rPr>
          <w:rFonts w:hint="default"/>
          <w:lang w:val="en-US"/>
        </w:rPr>
      </w:pPr>
      <w:r>
        <w:rPr>
          <w:rFonts w:ascii="Times New Roman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3832860</wp:posOffset>
            </wp:positionH>
            <wp:positionV relativeFrom="paragraph">
              <wp:posOffset>177800</wp:posOffset>
            </wp:positionV>
            <wp:extent cx="1372870" cy="2289175"/>
            <wp:effectExtent l="0" t="0" r="24130" b="22225"/>
            <wp:wrapNone/>
            <wp:docPr id="73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 8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73124" cy="2289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Настройка каналов: можно задавать такие параметры, как пороги срабатывания сигнализации и диапазоны измерений для каждого канала.</w:t>
      </w:r>
    </w:p>
    <w:p w14:paraId="430D807E">
      <w:pPr>
        <w:pStyle w:val="2"/>
        <w:spacing w:before="191" w:line="189" w:lineRule="auto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Системные настройки: можно задавать параметры работы системы</w:t>
      </w:r>
    </w:p>
    <w:p w14:paraId="32FD15B3">
      <w:pPr>
        <w:pStyle w:val="2"/>
        <w:spacing w:before="191" w:line="189" w:lineRule="auto"/>
        <w:ind w:left="1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Настройка времени: можно установить время прибора</w:t>
      </w:r>
    </w:p>
    <w:p w14:paraId="51A13DBB">
      <w:pPr>
        <w:pStyle w:val="2"/>
        <w:spacing w:before="192" w:line="188" w:lineRule="auto"/>
        <w:ind w:left="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Записи сигнализаций: можно просматривать записи сигнализаций на приборе.</w:t>
      </w:r>
    </w:p>
    <w:p w14:paraId="29E0C158">
      <w:pPr>
        <w:pStyle w:val="2"/>
        <w:spacing w:before="192" w:line="189" w:lineRule="auto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Нулевая точка: можно установить значение нулевой точки для каждого канала</w:t>
      </w:r>
    </w:p>
    <w:p w14:paraId="1250AB31">
      <w:pPr>
        <w:pStyle w:val="2"/>
        <w:spacing w:before="192" w:line="189" w:lineRule="auto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Калибровка: прибор может быть откалиброван.</w:t>
      </w:r>
    </w:p>
    <w:p w14:paraId="285D1AC7">
      <w:pPr>
        <w:pStyle w:val="2"/>
        <w:spacing w:before="191" w:line="189" w:lineRule="auto"/>
        <w:ind w:left="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Сброс к заводским настройкам: можно вернуть прибор к заводским настройкам по умолчанию.</w:t>
      </w:r>
    </w:p>
    <w:p w14:paraId="00F84E06">
      <w:pPr>
        <w:pStyle w:val="2"/>
        <w:spacing w:before="191" w:line="189" w:lineRule="auto"/>
        <w:ind w:left="3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Выключение: прибор можно выключить</w:t>
      </w:r>
    </w:p>
    <w:p w14:paraId="0CD9E523">
      <w:pPr>
        <w:spacing w:line="189" w:lineRule="auto"/>
        <w:sectPr>
          <w:footerReference r:id="rId9" w:type="default"/>
          <w:pgSz w:w="11850" w:h="16783"/>
          <w:pgMar w:top="1123" w:right="1184" w:bottom="875" w:left="1134" w:header="0" w:footer="685" w:gutter="0"/>
          <w:cols w:space="720" w:num="1"/>
        </w:sectPr>
      </w:pPr>
    </w:p>
    <w:p w14:paraId="7886DE28">
      <w:pPr>
        <w:pStyle w:val="2"/>
        <w:spacing w:before="46" w:line="189" w:lineRule="auto"/>
        <w:ind w:left="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Главный экран: можно вернуться на главный экран</w:t>
      </w:r>
    </w:p>
    <w:p w14:paraId="34888D1D">
      <w:pPr>
        <w:pStyle w:val="2"/>
        <w:spacing w:before="190" w:line="189" w:lineRule="auto"/>
        <w:ind w:left="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Настройки выгрузки: можно выгружать настройки облачной платформы</w:t>
      </w:r>
    </w:p>
    <w:p w14:paraId="177B770D">
      <w:pPr>
        <w:spacing w:line="437" w:lineRule="auto"/>
        <w:rPr>
          <w:rFonts w:ascii="Arial"/>
          <w:sz w:val="21"/>
        </w:rPr>
      </w:pPr>
    </w:p>
    <w:p w14:paraId="4630FE6A">
      <w:pPr>
        <w:pStyle w:val="2"/>
        <w:spacing w:before="109" w:line="286" w:lineRule="auto"/>
        <w:ind w:firstLine="479"/>
        <w:jc w:val="both"/>
        <w:rPr>
          <w:rFonts w:hint="default"/>
          <w:lang w:val="en-US"/>
        </w:rPr>
      </w:pPr>
      <w:bookmarkStart w:id="13" w:name="bookmark35"/>
      <w:bookmarkEnd w:id="13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Внимание: не заряжайте портативные газоанализаторы горючих газов на месте проведения измерений во избежание пожара или взрыва из-за искры при отключении зарядного устройства. Не заряжайте портативные газоанализаторы во включённом состоянии, чтобы не снижать скорость зарядки и срок службы аккумулятора.</w:t>
      </w:r>
    </w:p>
    <w:p w14:paraId="5BEDC9A6">
      <w:pPr>
        <w:pStyle w:val="2"/>
        <w:spacing w:line="233" w:lineRule="auto"/>
        <w:outlineLvl w:val="1"/>
        <w:rPr>
          <w:rFonts w:hint="default"/>
          <w:sz w:val="28"/>
          <w:szCs w:val="28"/>
          <w:lang w:val="en-US"/>
        </w:rPr>
      </w:pPr>
      <w:bookmarkStart w:id="14" w:name="bookmark10"/>
      <w:bookmarkEnd w:id="14"/>
      <w:bookmarkStart w:id="15" w:name="bookmark11"/>
      <w:bookmarkEnd w:id="15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1"/>
          <w:kern w:val="0"/>
          <w:sz w:val="28"/>
          <w:szCs w:val="28"/>
          <w:lang w:val="en-US" w:eastAsia="en-US" w:bidi="ar-SA"/>
        </w:rPr>
        <w:t>4.5 Указания по эксплуатации</w:t>
      </w:r>
    </w:p>
    <w:p w14:paraId="2F345D17">
      <w:pPr>
        <w:pStyle w:val="2"/>
        <w:spacing w:before="232" w:line="229" w:lineRule="auto"/>
        <w:ind w:left="20"/>
        <w:outlineLvl w:val="0"/>
        <w:rPr>
          <w:rFonts w:hint="default"/>
          <w:lang w:val="en-US"/>
        </w:rPr>
      </w:pPr>
      <w:bookmarkStart w:id="16" w:name="bookmark36"/>
      <w:bookmarkEnd w:id="16"/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1. Настройка каналов</w:t>
      </w:r>
    </w:p>
    <w:p w14:paraId="49663A41">
      <w:pPr>
        <w:pStyle w:val="2"/>
        <w:spacing w:before="206" w:line="222" w:lineRule="auto"/>
        <w:ind w:left="426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a) Войдите в меню, нажмите значок "Настройка каналов" для входа в меню настройки каналов. Как показано на рисунке</w:t>
      </w:r>
    </w:p>
    <w:p w14:paraId="12BF3581">
      <w:pPr>
        <w:pStyle w:val="2"/>
        <w:spacing w:before="220" w:line="222" w:lineRule="auto"/>
        <w:ind w:left="435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b) Нажмите раскрывающееся меню "Выбор канала", затем выберите канал, который требуется настроить, как показано на рисунке 1-1</w:t>
      </w:r>
    </w:p>
    <w:p w14:paraId="7A612B9F">
      <w:pPr>
        <w:pStyle w:val="2"/>
        <w:spacing w:before="240" w:line="208" w:lineRule="auto"/>
        <w:jc w:val="right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c) Нажмите параметр, который требуется изменить. После внесения изменений нажмите кнопку Сохранить, чтобы сохранить текущие настройки; либо нажмите</w:t>
      </w:r>
    </w:p>
    <w:p w14:paraId="4AE3D2C9">
      <w:pPr>
        <w:spacing w:line="164" w:lineRule="exact"/>
      </w:pPr>
    </w:p>
    <w:p w14:paraId="27BABD31">
      <w:pPr>
        <w:spacing w:line="164" w:lineRule="exact"/>
        <w:sectPr>
          <w:footerReference r:id="rId10" w:type="default"/>
          <w:pgSz w:w="11850" w:h="16783"/>
          <w:pgMar w:top="1183" w:right="1134" w:bottom="875" w:left="1137" w:header="0" w:footer="685" w:gutter="0"/>
          <w:cols w:equalWidth="0" w:num="1">
            <w:col w:w="9579"/>
          </w:cols>
        </w:sectPr>
      </w:pPr>
    </w:p>
    <w:p w14:paraId="5A5153F2">
      <w:pPr>
        <w:pStyle w:val="2"/>
        <w:spacing w:before="61" w:line="222" w:lineRule="auto"/>
        <w:ind w:left="505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3"/>
          <w:kern w:val="0"/>
          <w:sz w:val="24"/>
          <w:szCs w:val="24"/>
          <w:lang w:val="en-US" w:eastAsia="en-US" w:bidi="ar-SA"/>
        </w:rPr>
        <w:t>Нажмите кнопку Назад, чтобы отменить настройки. См. рисунок 1-2</w:t>
      </w:r>
    </w:p>
    <w:p w14:paraId="4BC94838">
      <w:pPr>
        <w:spacing w:before="128" w:line="2721" w:lineRule="exact"/>
        <w:ind w:firstLine="2616"/>
      </w:pPr>
      <w:r>
        <w:rPr>
          <w:position w:val="-54"/>
        </w:rPr>
        <w:drawing>
          <wp:inline distT="0" distB="0" distL="0" distR="0">
            <wp:extent cx="1035685" cy="172783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36319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C9B1B">
      <w:pPr>
        <w:pStyle w:val="2"/>
        <w:spacing w:before="193" w:line="205" w:lineRule="auto"/>
        <w:ind w:left="3070"/>
        <w:rPr>
          <w:rFonts w:hint="default"/>
          <w:sz w:val="22"/>
          <w:szCs w:val="22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2"/>
          <w:kern w:val="0"/>
          <w:sz w:val="22"/>
          <w:szCs w:val="22"/>
          <w:lang w:val="en-US" w:eastAsia="en-US" w:bidi="ar-SA"/>
        </w:rPr>
        <w:t>рисунок 1-1</w:t>
      </w:r>
    </w:p>
    <w:p w14:paraId="0226613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89B7003">
      <w:pPr>
        <w:spacing w:line="271" w:lineRule="auto"/>
        <w:rPr>
          <w:rFonts w:ascii="Arial"/>
          <w:sz w:val="21"/>
        </w:rPr>
      </w:pPr>
    </w:p>
    <w:p w14:paraId="3E947FCB">
      <w:pPr>
        <w:spacing w:line="271" w:lineRule="auto"/>
        <w:rPr>
          <w:rFonts w:ascii="Arial"/>
          <w:sz w:val="21"/>
        </w:rPr>
      </w:pPr>
    </w:p>
    <w:p w14:paraId="36F37FB3">
      <w:pPr>
        <w:spacing w:before="1" w:line="2767" w:lineRule="exact"/>
      </w:pPr>
      <w:r>
        <w:rPr>
          <w:position w:val="-55"/>
        </w:rPr>
        <w:drawing>
          <wp:inline distT="0" distB="0" distL="0" distR="0">
            <wp:extent cx="1092200" cy="175704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92708" cy="17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9C6B9">
      <w:pPr>
        <w:pStyle w:val="2"/>
        <w:spacing w:before="192" w:line="205" w:lineRule="auto"/>
        <w:ind w:left="439"/>
        <w:rPr>
          <w:rFonts w:hint="default"/>
          <w:sz w:val="22"/>
          <w:szCs w:val="22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9"/>
          <w:kern w:val="0"/>
          <w:sz w:val="22"/>
          <w:szCs w:val="22"/>
          <w:lang w:val="en-US" w:eastAsia="en-US" w:bidi="ar-SA"/>
        </w:rPr>
        <w:t>рисунок 1-2</w:t>
      </w:r>
    </w:p>
    <w:p w14:paraId="0FC99354">
      <w:pPr>
        <w:spacing w:line="205" w:lineRule="auto"/>
        <w:rPr>
          <w:sz w:val="22"/>
          <w:szCs w:val="22"/>
        </w:rPr>
        <w:sectPr>
          <w:type w:val="continuous"/>
          <w:pgSz w:w="11850" w:h="16783"/>
          <w:pgMar w:top="1183" w:right="1134" w:bottom="875" w:left="1137" w:header="0" w:footer="685" w:gutter="0"/>
          <w:cols w:equalWidth="0" w:num="2">
            <w:col w:w="4701" w:space="100"/>
            <w:col w:w="4779"/>
          </w:cols>
        </w:sectPr>
      </w:pPr>
    </w:p>
    <w:p w14:paraId="168C249C">
      <w:pPr>
        <w:pStyle w:val="2"/>
        <w:spacing w:before="269" w:line="229" w:lineRule="auto"/>
        <w:ind w:left="9"/>
        <w:outlineLvl w:val="0"/>
        <w:rPr>
          <w:rFonts w:hint="default"/>
          <w:lang w:val="en-US"/>
        </w:rPr>
      </w:pPr>
      <w:bookmarkStart w:id="17" w:name="bookmark12"/>
      <w:bookmarkEnd w:id="17"/>
      <w:bookmarkStart w:id="18" w:name="bookmark13"/>
      <w:bookmarkEnd w:id="18"/>
      <w:r>
        <w:rPr>
          <w:rFonts w:ascii="Times New Roman" w:hAnsi="PingFang SC" w:eastAsia="PingFang SC" w:cs="PingFang SC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2. Настройка времени</w:t>
      </w:r>
    </w:p>
    <w:p w14:paraId="1394F6DA">
      <w:pPr>
        <w:pStyle w:val="2"/>
        <w:spacing w:before="206" w:line="222" w:lineRule="auto"/>
        <w:ind w:left="425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a) Войдите в меню, нажмите значок "Настройка времени" для входа в меню настройки времени, как показано на рисунке 2-1</w:t>
      </w:r>
    </w:p>
    <w:p w14:paraId="50579978">
      <w:pPr>
        <w:pStyle w:val="2"/>
        <w:spacing w:before="220" w:line="222" w:lineRule="auto"/>
        <w:ind w:left="435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b) Нажмите раскрывающееся меню для изменения параметра, затем выберите значение, которое требуется отрегулировать, как показано на рисунке 2-2</w:t>
      </w:r>
    </w:p>
    <w:p w14:paraId="695BCD80">
      <w:pPr>
        <w:pStyle w:val="2"/>
        <w:spacing w:before="222" w:line="247" w:lineRule="auto"/>
        <w:ind w:left="838" w:hanging="41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c) После внесения изменений нажмите кнопку Сохранить, чтобы сохранить текущие параметры, или нажмите кнопку Назад, чтобы отменить настройки.</w:t>
      </w:r>
    </w:p>
    <w:p w14:paraId="2470CF76">
      <w:pPr>
        <w:spacing w:line="247" w:lineRule="auto"/>
        <w:sectPr>
          <w:type w:val="continuous"/>
          <w:pgSz w:w="11850" w:h="16783"/>
          <w:pgMar w:top="1183" w:right="1134" w:bottom="875" w:left="1137" w:header="0" w:footer="685" w:gutter="0"/>
          <w:cols w:equalWidth="0" w:num="1">
            <w:col w:w="9579"/>
          </w:cols>
        </w:sectPr>
      </w:pPr>
    </w:p>
    <w:p w14:paraId="70ECC532">
      <w:pPr>
        <w:spacing w:line="3139" w:lineRule="exact"/>
        <w:ind w:firstLine="1980"/>
      </w:pPr>
      <w:r>
        <w:rPr>
          <w:position w:val="-62"/>
        </w:rPr>
        <w:drawing>
          <wp:inline distT="0" distB="0" distL="0" distR="0">
            <wp:extent cx="1194435" cy="199326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94816" cy="199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F5BC1">
      <w:pPr>
        <w:pStyle w:val="2"/>
        <w:spacing w:before="304" w:line="204" w:lineRule="auto"/>
        <w:ind w:left="2594"/>
        <w:rPr>
          <w:rFonts w:hint="default"/>
          <w:lang w:val="en-US"/>
        </w:rPr>
      </w:pPr>
      <w:bookmarkStart w:id="19" w:name="bookmark15"/>
      <w:bookmarkEnd w:id="19"/>
      <w:bookmarkStart w:id="20" w:name="bookmark14"/>
      <w:bookmarkEnd w:id="20"/>
      <w:r>
        <w:rPr>
          <w:rFonts w:ascii="Times New Roman" w:hAnsi="PingFang SC" w:eastAsia="PingFang SC" w:cs="PingFang SC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рисунок 2-1</w:t>
      </w:r>
    </w:p>
    <w:p w14:paraId="7BA9181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DCAEB82">
      <w:pPr>
        <w:spacing w:before="3" w:line="3132" w:lineRule="exact"/>
      </w:pPr>
      <w:r>
        <w:rPr>
          <w:position w:val="-62"/>
        </w:rPr>
        <w:drawing>
          <wp:inline distT="0" distB="0" distL="0" distR="0">
            <wp:extent cx="1193165" cy="198818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93291" cy="198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91E79">
      <w:pPr>
        <w:pStyle w:val="2"/>
        <w:spacing w:before="307" w:line="204" w:lineRule="auto"/>
        <w:ind w:left="49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6"/>
          <w:kern w:val="0"/>
          <w:sz w:val="24"/>
          <w:szCs w:val="24"/>
          <w:lang w:val="en-US" w:eastAsia="en-US" w:bidi="ar-SA"/>
        </w:rPr>
        <w:t>рисунок 2-2</w:t>
      </w:r>
    </w:p>
    <w:p w14:paraId="504E3013">
      <w:pPr>
        <w:spacing w:line="204" w:lineRule="auto"/>
        <w:sectPr>
          <w:footerReference r:id="rId11" w:type="default"/>
          <w:pgSz w:w="11850" w:h="16783"/>
          <w:pgMar w:top="1281" w:right="1189" w:bottom="875" w:left="1134" w:header="0" w:footer="685" w:gutter="0"/>
          <w:cols w:equalWidth="0" w:num="2">
            <w:col w:w="4243" w:space="100"/>
            <w:col w:w="5185"/>
          </w:cols>
        </w:sectPr>
      </w:pPr>
    </w:p>
    <w:p w14:paraId="24F93F19">
      <w:pPr>
        <w:pStyle w:val="2"/>
        <w:spacing w:before="251" w:line="229" w:lineRule="auto"/>
        <w:ind w:left="15"/>
        <w:outlineLvl w:val="0"/>
        <w:rPr>
          <w:rFonts w:hint="default"/>
          <w:lang w:val="en-US"/>
        </w:rPr>
      </w:pPr>
      <w:bookmarkStart w:id="21" w:name="bookmark37"/>
      <w:bookmarkEnd w:id="21"/>
      <w:r>
        <w:rPr>
          <w:rFonts w:ascii="Times New Roman" w:hAnsi="PingFang SC" w:eastAsia="PingFang SC" w:cs="PingFang SC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3. Записи сигнализаций</w:t>
      </w:r>
    </w:p>
    <w:p w14:paraId="233D6775">
      <w:pPr>
        <w:pStyle w:val="2"/>
        <w:spacing w:before="207" w:line="222" w:lineRule="auto"/>
        <w:ind w:left="42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a) Войдите в меню, нажмите значок "Записи сигнализаций" для входа в меню просмотра записей сигнализаций, как показано на рисунке 3</w:t>
      </w:r>
    </w:p>
    <w:p w14:paraId="138E3E50">
      <w:pPr>
        <w:pStyle w:val="2"/>
        <w:spacing w:before="219" w:line="222" w:lineRule="auto"/>
        <w:ind w:left="43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6"/>
          <w:kern w:val="0"/>
          <w:sz w:val="24"/>
          <w:szCs w:val="24"/>
          <w:lang w:val="en-US" w:eastAsia="en-US" w:bidi="ar-SA"/>
        </w:rPr>
        <w:t>b) Нажимайте кнопки "&lt;" или "&gt;" для перехода между страницами, а кнопкой "Три" вернитесь в интерфейс меню.</w:t>
      </w:r>
    </w:p>
    <w:p w14:paraId="46F9CC33">
      <w:pPr>
        <w:spacing w:before="123" w:line="3312" w:lineRule="exact"/>
        <w:ind w:firstLine="2340"/>
      </w:pPr>
      <w:r>
        <w:rPr>
          <w:position w:val="-66"/>
        </w:rPr>
        <w:drawing>
          <wp:inline distT="0" distB="0" distL="0" distR="0">
            <wp:extent cx="1261745" cy="2103120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61872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570B4">
      <w:pPr>
        <w:pStyle w:val="2"/>
        <w:spacing w:before="217" w:line="230" w:lineRule="auto"/>
        <w:ind w:left="2894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график 3-1</w:t>
      </w:r>
    </w:p>
    <w:p w14:paraId="05C7AC8B">
      <w:pPr>
        <w:pStyle w:val="2"/>
        <w:spacing w:before="225" w:line="215" w:lineRule="auto"/>
        <w:outlineLvl w:val="0"/>
        <w:rPr>
          <w:rFonts w:hint="default"/>
          <w:lang w:val="en-US"/>
        </w:rPr>
      </w:pPr>
      <w:bookmarkStart w:id="22" w:name="bookmark16"/>
      <w:bookmarkEnd w:id="22"/>
      <w:bookmarkStart w:id="23" w:name="bookmark17"/>
      <w:bookmarkEnd w:id="23"/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4. Установка нулевой точки</w:t>
      </w:r>
    </w:p>
    <w:p w14:paraId="565425D3">
      <w:pPr>
        <w:pStyle w:val="2"/>
        <w:spacing w:before="213" w:line="222" w:lineRule="auto"/>
        <w:ind w:right="1"/>
        <w:jc w:val="right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6"/>
          <w:kern w:val="0"/>
          <w:sz w:val="24"/>
          <w:szCs w:val="24"/>
          <w:lang w:val="en-US" w:eastAsia="en-US" w:bidi="ar-SA"/>
        </w:rPr>
        <w:t>a) Войдите в меню, нажмите значок "Нулевая точка", введите пароль "1111" и войдите в меню установки нулевой точки, как показано на рисунке 4-1</w:t>
      </w:r>
    </w:p>
    <w:p w14:paraId="58F13A48">
      <w:pPr>
        <w:pStyle w:val="2"/>
        <w:spacing w:before="220" w:line="222" w:lineRule="auto"/>
        <w:ind w:left="43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6"/>
          <w:kern w:val="0"/>
          <w:sz w:val="24"/>
          <w:szCs w:val="24"/>
          <w:lang w:val="en-US" w:eastAsia="en-US" w:bidi="ar-SA"/>
        </w:rPr>
        <w:t>b) Нажимайте кнопки "&lt;" или "&gt;" для перехода между страницами, а кнопкой "Три" вернитесь в интерфейс меню.</w:t>
      </w:r>
    </w:p>
    <w:p w14:paraId="03C1BD60">
      <w:pPr>
        <w:pStyle w:val="2"/>
        <w:spacing w:before="219" w:line="257" w:lineRule="auto"/>
        <w:ind w:left="838" w:hanging="40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c) После стабилизации значения нулевой точки нажмите кнопку "Сохранить", чтобы сохранить текущее значение нулевой точки. (Примечание: сохранять значение нулевой точки следует в чистом воздухе.)</w:t>
      </w:r>
    </w:p>
    <w:p w14:paraId="46176A1F">
      <w:pPr>
        <w:spacing w:line="257" w:lineRule="auto"/>
        <w:sectPr>
          <w:type w:val="continuous"/>
          <w:pgSz w:w="11850" w:h="16783"/>
          <w:pgMar w:top="1281" w:right="1189" w:bottom="875" w:left="1134" w:header="0" w:footer="685" w:gutter="0"/>
          <w:cols w:equalWidth="0" w:num="1">
            <w:col w:w="9527"/>
          </w:cols>
        </w:sectPr>
      </w:pPr>
    </w:p>
    <w:p w14:paraId="27C86296">
      <w:pPr>
        <w:spacing w:before="140" w:line="3708" w:lineRule="exact"/>
        <w:ind w:firstLine="1896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3177540</wp:posOffset>
            </wp:positionH>
            <wp:positionV relativeFrom="paragraph">
              <wp:posOffset>99695</wp:posOffset>
            </wp:positionV>
            <wp:extent cx="1405255" cy="2339340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05128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4"/>
        </w:rPr>
        <w:drawing>
          <wp:inline distT="0" distB="0" distL="0" distR="0">
            <wp:extent cx="1412240" cy="235394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12747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F694E">
      <w:pPr>
        <w:spacing w:line="294" w:lineRule="auto"/>
        <w:rPr>
          <w:rFonts w:ascii="Arial"/>
          <w:sz w:val="21"/>
        </w:rPr>
      </w:pPr>
    </w:p>
    <w:p w14:paraId="390FB05C">
      <w:pPr>
        <w:pStyle w:val="2"/>
        <w:spacing w:before="100" w:line="230" w:lineRule="auto"/>
        <w:ind w:left="3300"/>
        <w:rPr>
          <w:rFonts w:hint="default"/>
          <w:sz w:val="22"/>
          <w:szCs w:val="22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6"/>
          <w:kern w:val="0"/>
          <w:sz w:val="22"/>
          <w:szCs w:val="22"/>
          <w:lang w:val="en-US" w:eastAsia="en-US" w:bidi="ar-SA"/>
        </w:rPr>
        <w:t>Рисунок 4-1 Рисунок 4-2 Рисунок 4-1 Рисунок 4-2</w:t>
      </w:r>
    </w:p>
    <w:p w14:paraId="4848FAF6">
      <w:pPr>
        <w:pStyle w:val="2"/>
        <w:spacing w:before="229" w:line="229" w:lineRule="auto"/>
        <w:ind w:left="6"/>
        <w:outlineLvl w:val="0"/>
        <w:rPr>
          <w:rFonts w:hint="default"/>
          <w:lang w:val="en-US"/>
        </w:rPr>
      </w:pPr>
      <w:bookmarkStart w:id="24" w:name="bookmark18"/>
      <w:bookmarkEnd w:id="24"/>
      <w:bookmarkStart w:id="25" w:name="bookmark19"/>
      <w:bookmarkEnd w:id="25"/>
      <w:r>
        <w:rPr>
          <w:rFonts w:ascii="Times New Roman" w:hAnsi="PingFang SC" w:eastAsia="PingFang SC" w:cs="PingFang SC"/>
          <w:snapToGrid w:val="0"/>
          <w:color w:val="000000"/>
          <w:spacing w:val="-11"/>
          <w:kern w:val="0"/>
          <w:sz w:val="24"/>
          <w:szCs w:val="24"/>
          <w:lang w:val="en-US" w:eastAsia="en-US" w:bidi="ar-SA"/>
        </w:rPr>
        <w:t>5. Калибровка</w:t>
      </w:r>
    </w:p>
    <w:p w14:paraId="57C05BBE">
      <w:pPr>
        <w:pStyle w:val="2"/>
        <w:spacing w:before="206" w:line="222" w:lineRule="auto"/>
        <w:ind w:left="416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a) Войдите в меню, нажмите значок "Калибровка", введите пароль "9119" для входа в меню калибровки, как показано на рисунке 5-1</w:t>
      </w:r>
    </w:p>
    <w:p w14:paraId="683DEDE6">
      <w:pPr>
        <w:pStyle w:val="2"/>
        <w:spacing w:before="220" w:line="222" w:lineRule="auto"/>
        <w:ind w:left="426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6"/>
          <w:kern w:val="0"/>
          <w:sz w:val="24"/>
          <w:szCs w:val="24"/>
          <w:lang w:val="en-US" w:eastAsia="en-US" w:bidi="ar-SA"/>
        </w:rPr>
        <w:t>b) Нажимайте кнопки "&lt;" или "&gt;" для перехода между страницами, а кнопкой "Три" вернитесь в интерфейс меню;</w:t>
      </w:r>
    </w:p>
    <w:p w14:paraId="75DADF5A">
      <w:pPr>
        <w:pStyle w:val="2"/>
        <w:spacing w:before="220" w:line="229" w:lineRule="auto"/>
        <w:ind w:left="417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4"/>
          <w:kern w:val="0"/>
          <w:sz w:val="24"/>
          <w:szCs w:val="24"/>
          <w:lang w:val="en-US" w:eastAsia="en-US" w:bidi="ar-SA"/>
        </w:rPr>
        <w:t>c) Нажимайте "+" и "-", чтобы задать значения концентрации поверочной газовой смеси для подачи газа;</w:t>
      </w:r>
    </w:p>
    <w:p w14:paraId="408DF149">
      <w:pPr>
        <w:pStyle w:val="2"/>
        <w:spacing w:before="207" w:line="222" w:lineRule="auto"/>
        <w:jc w:val="right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d) Установите расход поверочной газовой смеси 1 л/мин, дождитесь стабилизации значения АЦП, затем нажмите кнопку "Сохранить" для завершения калибровки.</w:t>
      </w:r>
    </w:p>
    <w:p w14:paraId="123CFA97">
      <w:pPr>
        <w:spacing w:line="374" w:lineRule="auto"/>
        <w:rPr>
          <w:rFonts w:ascii="Arial"/>
          <w:sz w:val="21"/>
        </w:rPr>
      </w:pPr>
    </w:p>
    <w:p w14:paraId="2E58CA56">
      <w:pPr>
        <w:spacing w:before="1" w:line="3326" w:lineRule="exact"/>
        <w:ind w:firstLine="4762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1220470</wp:posOffset>
            </wp:positionH>
            <wp:positionV relativeFrom="paragraph">
              <wp:posOffset>29210</wp:posOffset>
            </wp:positionV>
            <wp:extent cx="1228090" cy="2048510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28343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6"/>
        </w:rPr>
        <w:drawing>
          <wp:inline distT="0" distB="0" distL="0" distR="0">
            <wp:extent cx="1267460" cy="2112010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7968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F142E">
      <w:pPr>
        <w:pStyle w:val="2"/>
        <w:spacing w:before="261" w:line="230" w:lineRule="auto"/>
        <w:ind w:left="258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Рисунок 5-1 Рисунок 5-2 Рисунок 5-1 Рисунок 5-2</w:t>
      </w:r>
    </w:p>
    <w:p w14:paraId="25086AD1">
      <w:pPr>
        <w:pStyle w:val="2"/>
        <w:spacing w:before="206" w:line="229" w:lineRule="auto"/>
        <w:outlineLvl w:val="0"/>
        <w:rPr>
          <w:rFonts w:hint="default"/>
          <w:lang w:val="en-US"/>
        </w:rPr>
      </w:pPr>
      <w:bookmarkStart w:id="26" w:name="bookmark21"/>
      <w:bookmarkEnd w:id="26"/>
      <w:bookmarkStart w:id="27" w:name="bookmark20"/>
      <w:bookmarkEnd w:id="27"/>
      <w:r>
        <w:rPr>
          <w:rFonts w:ascii="Times New Roman" w:hAnsi="PingFang SC" w:eastAsia="PingFang SC" w:cs="PingFang SC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6. Сброс к заводским настройкам</w:t>
      </w:r>
    </w:p>
    <w:p w14:paraId="20A97A3F">
      <w:pPr>
        <w:pStyle w:val="2"/>
        <w:spacing w:before="206" w:line="222" w:lineRule="auto"/>
        <w:ind w:left="40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Войдите в меню, нажмите значок "Сброс к заводским настройкам" и введите пароль "5656" для завершения сброса.</w:t>
      </w:r>
    </w:p>
    <w:p w14:paraId="04B328EC">
      <w:pPr>
        <w:spacing w:line="222" w:lineRule="auto"/>
        <w:sectPr>
          <w:footerReference r:id="rId12" w:type="default"/>
          <w:pgSz w:w="11850" w:h="16783"/>
          <w:pgMar w:top="1426" w:right="1582" w:bottom="875" w:left="1146" w:header="0" w:footer="685" w:gutter="0"/>
          <w:cols w:space="720" w:num="1"/>
        </w:sectPr>
      </w:pPr>
    </w:p>
    <w:p w14:paraId="21C6AF1A">
      <w:pPr>
        <w:pStyle w:val="2"/>
        <w:spacing w:before="61" w:line="229" w:lineRule="auto"/>
        <w:ind w:left="11"/>
        <w:outlineLvl w:val="0"/>
        <w:rPr>
          <w:rFonts w:hint="default"/>
          <w:lang w:val="en-US"/>
        </w:rPr>
      </w:pPr>
      <w:r>
        <w:rPr>
          <w:rFonts w:ascii="Times New Roman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4511040</wp:posOffset>
            </wp:positionH>
            <wp:positionV relativeFrom="paragraph">
              <wp:posOffset>248920</wp:posOffset>
            </wp:positionV>
            <wp:extent cx="1250950" cy="2087880"/>
            <wp:effectExtent l="0" t="0" r="19050" b="20320"/>
            <wp:wrapNone/>
            <wp:docPr id="74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10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51203" cy="2087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8" w:name="bookmark23"/>
      <w:bookmarkEnd w:id="28"/>
      <w:bookmarkStart w:id="29" w:name="bookmark22"/>
      <w:bookmarkEnd w:id="29"/>
      <w:r>
        <w:rPr>
          <w:rFonts w:ascii="Times New Roman" w:hAnsi="PingFang SC" w:eastAsia="PingFang SC" w:cs="PingFang SC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7. Настройки выгрузки</w:t>
      </w:r>
    </w:p>
    <w:p w14:paraId="01546CD8">
      <w:pPr>
        <w:pStyle w:val="2"/>
        <w:spacing w:before="208" w:line="286" w:lineRule="auto"/>
        <w:ind w:left="841" w:right="2709" w:hanging="412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a) Войдите в меню, нажмите значок "Настройки выгрузки" для входа в меню настроек выгрузки, как показано на рисунке 6</w:t>
      </w:r>
    </w:p>
    <w:p w14:paraId="009E092F">
      <w:pPr>
        <w:pStyle w:val="2"/>
        <w:spacing w:before="205" w:line="222" w:lineRule="auto"/>
        <w:ind w:left="43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b) Отсканируйте QR-код в мобильном приложении или на ПК Zhihui Cloud, чтобы добавить это устройство</w:t>
      </w:r>
    </w:p>
    <w:p w14:paraId="622524E0">
      <w:pPr>
        <w:pStyle w:val="2"/>
        <w:spacing w:before="220" w:line="229" w:lineRule="auto"/>
        <w:ind w:left="430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4"/>
          <w:kern w:val="0"/>
          <w:sz w:val="24"/>
          <w:szCs w:val="24"/>
          <w:lang w:val="en-US" w:eastAsia="en-US" w:bidi="ar-SA"/>
        </w:rPr>
        <w:t>c) Нажмите кнопку "Три", чтобы вернуться в интерфейс меню</w:t>
      </w:r>
    </w:p>
    <w:p w14:paraId="45B83F72">
      <w:pPr>
        <w:spacing w:line="327" w:lineRule="auto"/>
        <w:rPr>
          <w:rFonts w:ascii="Arial"/>
          <w:sz w:val="21"/>
        </w:rPr>
      </w:pPr>
    </w:p>
    <w:p w14:paraId="556041CA">
      <w:pPr>
        <w:spacing w:line="328" w:lineRule="auto"/>
        <w:rPr>
          <w:rFonts w:ascii="Arial"/>
          <w:sz w:val="21"/>
        </w:rPr>
      </w:pPr>
    </w:p>
    <w:p w14:paraId="09CC853F">
      <w:pPr>
        <w:pStyle w:val="2"/>
        <w:spacing w:before="127" w:line="189" w:lineRule="auto"/>
        <w:ind w:left="3"/>
        <w:outlineLvl w:val="0"/>
        <w:rPr>
          <w:rFonts w:hint="default"/>
          <w:sz w:val="28"/>
          <w:szCs w:val="28"/>
          <w:lang w:val="en-US"/>
        </w:rPr>
      </w:pPr>
      <w:bookmarkStart w:id="30" w:name="bookmark25"/>
      <w:bookmarkEnd w:id="30"/>
      <w:bookmarkStart w:id="31" w:name="bookmark24"/>
      <w:bookmarkEnd w:id="31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V. Меры предосторожности</w:t>
      </w:r>
    </w:p>
    <w:p w14:paraId="2B8989BA">
      <w:pPr>
        <w:pStyle w:val="2"/>
        <w:spacing w:before="220" w:line="228" w:lineRule="auto"/>
        <w:ind w:left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4"/>
          <w:szCs w:val="24"/>
          <w:lang w:val="en-US" w:eastAsia="en-US" w:bidi="ar-SA"/>
        </w:rPr>
        <w:t>(1) Не допускайте падения устройства с высоты и воздействия сильной вибрации.</w:t>
      </w:r>
    </w:p>
    <w:p w14:paraId="19A83F70">
      <w:pPr>
        <w:pStyle w:val="2"/>
        <w:spacing w:before="208" w:line="222" w:lineRule="auto"/>
        <w:ind w:left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(2) Устройство может работать некорректно при наличии газов высокой концентрации.</w:t>
      </w:r>
    </w:p>
    <w:p w14:paraId="2D7E6756">
      <w:pPr>
        <w:pStyle w:val="2"/>
        <w:spacing w:before="220" w:line="222" w:lineRule="auto"/>
        <w:ind w:left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(3) Строго следуйте инструкциям по эксплуатации и использованию; в противном случае это может привести к неточным результатам измерений или повреждению устройства.</w:t>
      </w:r>
    </w:p>
    <w:p w14:paraId="7D32A161">
      <w:pPr>
        <w:pStyle w:val="2"/>
        <w:spacing w:before="219" w:line="300" w:lineRule="auto"/>
        <w:ind w:firstLine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(4) Данное изделие нельзя хранить или использовать в средах, содержащих коррозионно-активные газы (например, хлор в высоких концентрациях), а также использовать или хранить в других жёстких условиях (включая экстремальные температуры, высокую влажность, электромагнитные поля или интенсивный солнечный свет).</w:t>
      </w:r>
    </w:p>
    <w:p w14:paraId="7C061B46">
      <w:pPr>
        <w:pStyle w:val="2"/>
        <w:spacing w:before="237" w:line="274" w:lineRule="auto"/>
        <w:ind w:right="2" w:firstLine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(5) Если поверхность данного прибора загрязняется при длительной эксплуатации, протрите её чистой мягкой тканью, смоченной водой. Не используйте для очистки агрессивные растворители или твёрдые предметы, так как это может привести к появлению царапин или повреждению поверхности прибора.</w:t>
      </w:r>
    </w:p>
    <w:p w14:paraId="1D17450C">
      <w:pPr>
        <w:pStyle w:val="2"/>
        <w:spacing w:before="248" w:line="222" w:lineRule="auto"/>
        <w:ind w:left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(6) Для обеспечения точности измерений данный прибор должен проходить периодическую калибровку; межповерочный интервал не должен превышать один год.</w:t>
      </w:r>
    </w:p>
    <w:p w14:paraId="2EA64B55">
      <w:pPr>
        <w:pStyle w:val="2"/>
        <w:spacing w:before="220" w:line="286" w:lineRule="auto"/>
        <w:ind w:left="3" w:firstLine="36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(7) Рекомендуемый срок службы инфракрасных и полупроводниковых датчиков — 5 лет, а термокаталитических и электрохимических датчиков — 2 года.</w:t>
      </w:r>
    </w:p>
    <w:p w14:paraId="53982B82">
      <w:pPr>
        <w:pStyle w:val="2"/>
        <w:spacing w:before="207" w:line="278" w:lineRule="auto"/>
        <w:ind w:right="2" w:firstLine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(8) Извлеките литий-ионный аккумулятор и датчики из утилизируемого газоанализатора и передайте их в установленное место или верните нашей компании. Не выбрасывайте их в мусорные контейнеры.</w:t>
      </w:r>
    </w:p>
    <w:p w14:paraId="6DFCB27E">
      <w:pPr>
        <w:pStyle w:val="2"/>
        <w:spacing w:before="238" w:line="228" w:lineRule="auto"/>
        <w:ind w:left="39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(9) По любым вопросам применения или использования, выходящим за рамки описанных в данном руководстве, обращайтесь за помощью в нашу компанию.</w:t>
      </w:r>
    </w:p>
    <w:p w14:paraId="606A060B">
      <w:pPr>
        <w:pStyle w:val="2"/>
        <w:spacing w:before="207" w:line="275" w:lineRule="auto"/>
        <w:ind w:left="1" w:firstLine="37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(10) Аккумуляторные батареи нельзя разбирать или заменять, а также заряжать во взрывоопасных газовых средах. Нельзя использовать периферийные подключаемые устройства без взрывозащищённой сертификации, а также заменять датчики в таких средах.</w:t>
      </w:r>
    </w:p>
    <w:p w14:paraId="78C44E3F">
      <w:pPr>
        <w:spacing w:line="275" w:lineRule="auto"/>
        <w:sectPr>
          <w:footerReference r:id="rId13" w:type="default"/>
          <w:pgSz w:w="11850" w:h="16783"/>
          <w:pgMar w:top="1231" w:right="1134" w:bottom="875" w:left="1134" w:header="0" w:footer="685" w:gutter="0"/>
          <w:cols w:space="720" w:num="1"/>
        </w:sectPr>
      </w:pPr>
    </w:p>
    <w:p w14:paraId="22AA0D4B">
      <w:pPr>
        <w:pStyle w:val="2"/>
        <w:spacing w:before="61" w:line="222" w:lineRule="auto"/>
        <w:ind w:left="15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(11) В изделиях со взрывозащищённой сертификацией запрещается произвольно заменять или изменять компоненты или конструкции, влияющие на их взрывозащитные свойства.</w:t>
      </w:r>
    </w:p>
    <w:p w14:paraId="7628BF03">
      <w:pPr>
        <w:pStyle w:val="2"/>
        <w:spacing w:before="219" w:line="275" w:lineRule="auto"/>
        <w:ind w:left="112" w:right="110" w:firstLine="3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(12) Соответствующие национальные стандарты содержат чёткие требования к выбору, монтажу и эксплуатации электрооборудования во взрывоопасных средах. Организации, выполняющие монтаж, и эксплуатирующие организации обязаны строго соблюдать эти требования для обеспечения взрывозащищённой безопасности электрооборудования в таких взрывоопасных зонах.</w:t>
      </w:r>
    </w:p>
    <w:p w14:paraId="1AFC75AB">
      <w:pPr>
        <w:pStyle w:val="2"/>
        <w:spacing w:before="247" w:line="222" w:lineRule="auto"/>
        <w:ind w:left="151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(13) Зарядку необходимо выполнять в безопасном месте и с использованием профессионального зарядного устройства, поставляемого с данным устройством.</w:t>
      </w:r>
    </w:p>
    <w:p w14:paraId="652028A0">
      <w:pPr>
        <w:pStyle w:val="2"/>
        <w:spacing w:before="174" w:line="190" w:lineRule="auto"/>
        <w:ind w:left="113"/>
        <w:outlineLvl w:val="0"/>
        <w:rPr>
          <w:rFonts w:hint="default"/>
          <w:sz w:val="28"/>
          <w:szCs w:val="28"/>
          <w:lang w:val="en-US"/>
        </w:rPr>
      </w:pPr>
      <w:bookmarkStart w:id="32" w:name="bookmark27"/>
      <w:bookmarkEnd w:id="32"/>
      <w:bookmarkStart w:id="33" w:name="bookmark26"/>
      <w:bookmarkEnd w:id="33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VI. Типичные неисправности и способы их устранения</w:t>
      </w:r>
    </w:p>
    <w:p w14:paraId="47145CCF">
      <w:pPr>
        <w:spacing w:line="59" w:lineRule="exact"/>
      </w:pPr>
    </w:p>
    <w:tbl>
      <w:tblPr>
        <w:tblStyle w:val="5"/>
        <w:tblW w:w="97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8"/>
        <w:gridCol w:w="2682"/>
        <w:gridCol w:w="4548"/>
      </w:tblGrid>
      <w:tr w14:paraId="4743C9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2568" w:type="dxa"/>
            <w:vAlign w:val="top"/>
          </w:tcPr>
          <w:p w14:paraId="78092D7F">
            <w:pPr>
              <w:pStyle w:val="6"/>
              <w:spacing w:before="209" w:line="190" w:lineRule="auto"/>
              <w:ind w:left="80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проявление неисправности</w:t>
            </w:r>
          </w:p>
        </w:tc>
        <w:tc>
          <w:tcPr>
            <w:tcW w:w="2682" w:type="dxa"/>
            <w:vAlign w:val="top"/>
          </w:tcPr>
          <w:p w14:paraId="371CB490">
            <w:pPr>
              <w:pStyle w:val="6"/>
              <w:spacing w:before="209" w:line="190" w:lineRule="auto"/>
              <w:ind w:left="62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Возможная причина неисправности</w:t>
            </w:r>
          </w:p>
        </w:tc>
        <w:tc>
          <w:tcPr>
            <w:tcW w:w="4548" w:type="dxa"/>
            <w:vAlign w:val="top"/>
          </w:tcPr>
          <w:p w14:paraId="01798757">
            <w:pPr>
              <w:pStyle w:val="6"/>
              <w:spacing w:before="211" w:line="189" w:lineRule="auto"/>
              <w:ind w:left="179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способ устранения</w:t>
            </w:r>
          </w:p>
        </w:tc>
      </w:tr>
      <w:tr w14:paraId="3559F1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568" w:type="dxa"/>
            <w:vMerge w:val="restart"/>
            <w:tcBorders>
              <w:bottom w:val="nil"/>
            </w:tcBorders>
            <w:vAlign w:val="top"/>
          </w:tcPr>
          <w:p w14:paraId="3B3661DA">
            <w:pPr>
              <w:spacing w:line="245" w:lineRule="auto"/>
              <w:rPr>
                <w:rFonts w:ascii="Arial"/>
                <w:sz w:val="21"/>
              </w:rPr>
            </w:pPr>
          </w:p>
          <w:p w14:paraId="74643DC9">
            <w:pPr>
              <w:spacing w:line="245" w:lineRule="auto"/>
              <w:rPr>
                <w:rFonts w:ascii="Arial"/>
                <w:sz w:val="21"/>
              </w:rPr>
            </w:pPr>
          </w:p>
          <w:p w14:paraId="689E6B63">
            <w:pPr>
              <w:spacing w:line="246" w:lineRule="auto"/>
              <w:rPr>
                <w:rFonts w:ascii="Arial"/>
                <w:sz w:val="21"/>
              </w:rPr>
            </w:pPr>
          </w:p>
          <w:p w14:paraId="683F0AAD">
            <w:pPr>
              <w:pStyle w:val="6"/>
              <w:spacing w:before="110" w:line="188" w:lineRule="auto"/>
              <w:ind w:left="80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Не включается</w:t>
            </w:r>
          </w:p>
        </w:tc>
        <w:tc>
          <w:tcPr>
            <w:tcW w:w="2682" w:type="dxa"/>
            <w:vAlign w:val="top"/>
          </w:tcPr>
          <w:p w14:paraId="692E083E">
            <w:pPr>
              <w:pStyle w:val="6"/>
              <w:spacing w:before="208" w:line="188" w:lineRule="auto"/>
              <w:ind w:left="873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напряжение ниже нормы</w:t>
            </w:r>
          </w:p>
        </w:tc>
        <w:tc>
          <w:tcPr>
            <w:tcW w:w="4548" w:type="dxa"/>
            <w:vAlign w:val="top"/>
          </w:tcPr>
          <w:p w14:paraId="4A0EE7DF">
            <w:pPr>
              <w:pStyle w:val="6"/>
              <w:spacing w:before="208" w:line="188" w:lineRule="auto"/>
              <w:ind w:left="167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Своевременно зарядите устройство</w:t>
            </w:r>
          </w:p>
        </w:tc>
      </w:tr>
      <w:tr w14:paraId="10214E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568" w:type="dxa"/>
            <w:vMerge w:val="continue"/>
            <w:tcBorders>
              <w:top w:val="nil"/>
              <w:bottom w:val="nil"/>
            </w:tcBorders>
            <w:vAlign w:val="top"/>
          </w:tcPr>
          <w:p w14:paraId="52D5868B">
            <w:pPr>
              <w:rPr>
                <w:rFonts w:ascii="Arial"/>
                <w:sz w:val="21"/>
              </w:rPr>
            </w:pPr>
          </w:p>
        </w:tc>
        <w:tc>
          <w:tcPr>
            <w:tcW w:w="2682" w:type="dxa"/>
            <w:vAlign w:val="top"/>
          </w:tcPr>
          <w:p w14:paraId="7F666020">
            <w:pPr>
              <w:pStyle w:val="6"/>
              <w:spacing w:before="208" w:line="188" w:lineRule="auto"/>
              <w:ind w:left="110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зависание системы</w:t>
            </w:r>
          </w:p>
        </w:tc>
        <w:tc>
          <w:tcPr>
            <w:tcW w:w="4548" w:type="dxa"/>
            <w:vAlign w:val="top"/>
          </w:tcPr>
          <w:p w14:paraId="660D7292">
            <w:pPr>
              <w:pStyle w:val="6"/>
              <w:spacing w:before="206" w:line="189" w:lineRule="auto"/>
              <w:ind w:left="83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Обратитесь к дилеру или производителю для ремонта</w:t>
            </w:r>
          </w:p>
        </w:tc>
      </w:tr>
      <w:tr w14:paraId="1E83EB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568" w:type="dxa"/>
            <w:vMerge w:val="continue"/>
            <w:tcBorders>
              <w:top w:val="nil"/>
            </w:tcBorders>
            <w:vAlign w:val="top"/>
          </w:tcPr>
          <w:p w14:paraId="0EFFE24F">
            <w:pPr>
              <w:rPr>
                <w:rFonts w:ascii="Arial"/>
                <w:sz w:val="21"/>
              </w:rPr>
            </w:pPr>
          </w:p>
        </w:tc>
        <w:tc>
          <w:tcPr>
            <w:tcW w:w="2682" w:type="dxa"/>
            <w:vAlign w:val="top"/>
          </w:tcPr>
          <w:p w14:paraId="2A41140E">
            <w:pPr>
              <w:pStyle w:val="6"/>
              <w:spacing w:before="207" w:line="190" w:lineRule="auto"/>
              <w:ind w:left="873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неисправность</w:t>
            </w:r>
          </w:p>
        </w:tc>
        <w:tc>
          <w:tcPr>
            <w:tcW w:w="4548" w:type="dxa"/>
            <w:vAlign w:val="top"/>
          </w:tcPr>
          <w:p w14:paraId="485B77F1">
            <w:pPr>
              <w:pStyle w:val="6"/>
              <w:spacing w:before="207" w:line="189" w:lineRule="auto"/>
              <w:ind w:left="83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Обратитесь к дилеру или производителю для ремонта</w:t>
            </w:r>
          </w:p>
        </w:tc>
      </w:tr>
      <w:tr w14:paraId="09E247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568" w:type="dxa"/>
            <w:vAlign w:val="top"/>
          </w:tcPr>
          <w:p w14:paraId="69052BB6">
            <w:pPr>
              <w:pStyle w:val="6"/>
              <w:spacing w:before="266" w:line="189" w:lineRule="auto"/>
              <w:ind w:left="323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Нет реакции на обнаруживаемый газ</w:t>
            </w:r>
          </w:p>
        </w:tc>
        <w:tc>
          <w:tcPr>
            <w:tcW w:w="2682" w:type="dxa"/>
            <w:vAlign w:val="top"/>
          </w:tcPr>
          <w:p w14:paraId="6046DC2F">
            <w:pPr>
              <w:pStyle w:val="6"/>
              <w:spacing w:before="265" w:line="190" w:lineRule="auto"/>
              <w:ind w:left="873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неисправность</w:t>
            </w:r>
          </w:p>
        </w:tc>
        <w:tc>
          <w:tcPr>
            <w:tcW w:w="4548" w:type="dxa"/>
            <w:vAlign w:val="top"/>
          </w:tcPr>
          <w:p w14:paraId="52C32BD0">
            <w:pPr>
              <w:pStyle w:val="6"/>
              <w:spacing w:before="266" w:line="189" w:lineRule="auto"/>
              <w:ind w:left="83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Обратитесь к дилеру или производителю для ремонта</w:t>
            </w:r>
          </w:p>
        </w:tc>
      </w:tr>
      <w:tr w14:paraId="673521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568" w:type="dxa"/>
            <w:vMerge w:val="restart"/>
            <w:tcBorders>
              <w:bottom w:val="nil"/>
            </w:tcBorders>
            <w:vAlign w:val="top"/>
          </w:tcPr>
          <w:p w14:paraId="56D1BD62">
            <w:pPr>
              <w:spacing w:line="475" w:lineRule="auto"/>
              <w:rPr>
                <w:rFonts w:ascii="Arial"/>
                <w:sz w:val="21"/>
              </w:rPr>
            </w:pPr>
          </w:p>
          <w:p w14:paraId="2E92A901">
            <w:pPr>
              <w:pStyle w:val="6"/>
              <w:spacing w:before="109" w:line="189" w:lineRule="auto"/>
              <w:ind w:left="686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Показания дисплея неточны</w:t>
            </w:r>
          </w:p>
        </w:tc>
        <w:tc>
          <w:tcPr>
            <w:tcW w:w="2682" w:type="dxa"/>
            <w:vAlign w:val="top"/>
          </w:tcPr>
          <w:p w14:paraId="7D8E29C9">
            <w:pPr>
              <w:pStyle w:val="6"/>
              <w:spacing w:before="265" w:line="189" w:lineRule="auto"/>
              <w:ind w:left="741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Срок службы датчика истёк</w:t>
            </w:r>
          </w:p>
        </w:tc>
        <w:tc>
          <w:tcPr>
            <w:tcW w:w="4548" w:type="dxa"/>
            <w:vAlign w:val="top"/>
          </w:tcPr>
          <w:p w14:paraId="41460678">
            <w:pPr>
              <w:pStyle w:val="6"/>
              <w:spacing w:before="266" w:line="188" w:lineRule="auto"/>
              <w:ind w:left="47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Обратитесь к дилеру или производителю для замены датчика.</w:t>
            </w:r>
          </w:p>
        </w:tc>
      </w:tr>
      <w:tr w14:paraId="2B420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568" w:type="dxa"/>
            <w:vMerge w:val="continue"/>
            <w:tcBorders>
              <w:top w:val="nil"/>
            </w:tcBorders>
            <w:vAlign w:val="top"/>
          </w:tcPr>
          <w:p w14:paraId="0B92AE47">
            <w:pPr>
              <w:rPr>
                <w:rFonts w:ascii="Arial"/>
                <w:sz w:val="21"/>
              </w:rPr>
            </w:pPr>
          </w:p>
        </w:tc>
        <w:tc>
          <w:tcPr>
            <w:tcW w:w="2682" w:type="dxa"/>
            <w:vAlign w:val="top"/>
          </w:tcPr>
          <w:p w14:paraId="171E5333">
            <w:pPr>
              <w:pStyle w:val="6"/>
              <w:spacing w:before="210" w:line="189" w:lineRule="auto"/>
              <w:ind w:left="74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Длительное отсутствие калибровки</w:t>
            </w:r>
          </w:p>
        </w:tc>
        <w:tc>
          <w:tcPr>
            <w:tcW w:w="4548" w:type="dxa"/>
            <w:vAlign w:val="top"/>
          </w:tcPr>
          <w:p w14:paraId="6882B00D">
            <w:pPr>
              <w:pStyle w:val="6"/>
              <w:spacing w:before="210" w:line="188" w:lineRule="auto"/>
              <w:ind w:left="167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Своевременно выполните калибровку</w:t>
            </w:r>
          </w:p>
        </w:tc>
      </w:tr>
      <w:tr w14:paraId="2BCCFA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568" w:type="dxa"/>
            <w:vMerge w:val="restart"/>
            <w:tcBorders>
              <w:bottom w:val="nil"/>
            </w:tcBorders>
            <w:vAlign w:val="top"/>
          </w:tcPr>
          <w:p w14:paraId="021F34D7">
            <w:pPr>
              <w:spacing w:line="478" w:lineRule="auto"/>
              <w:rPr>
                <w:rFonts w:ascii="Arial"/>
                <w:sz w:val="21"/>
              </w:rPr>
            </w:pPr>
          </w:p>
          <w:p w14:paraId="21BB8F99">
            <w:pPr>
              <w:pStyle w:val="6"/>
              <w:spacing w:before="109" w:line="188" w:lineRule="auto"/>
              <w:ind w:left="573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Ошибка отображения времени</w:t>
            </w:r>
          </w:p>
        </w:tc>
        <w:tc>
          <w:tcPr>
            <w:tcW w:w="2682" w:type="dxa"/>
            <w:vAlign w:val="top"/>
          </w:tcPr>
          <w:p w14:paraId="059A97F6">
            <w:pPr>
              <w:pStyle w:val="6"/>
              <w:spacing w:before="268" w:line="188" w:lineRule="auto"/>
              <w:ind w:left="393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Аккумулятор полностью разряжен</w:t>
            </w:r>
          </w:p>
        </w:tc>
        <w:tc>
          <w:tcPr>
            <w:tcW w:w="4548" w:type="dxa"/>
            <w:vAlign w:val="top"/>
          </w:tcPr>
          <w:p w14:paraId="3B29017C">
            <w:pPr>
              <w:pStyle w:val="6"/>
              <w:spacing w:before="269" w:line="188" w:lineRule="auto"/>
              <w:ind w:left="95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Своевременно зарядите и сбросьте время</w:t>
            </w:r>
          </w:p>
        </w:tc>
      </w:tr>
      <w:tr w14:paraId="34990C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568" w:type="dxa"/>
            <w:vMerge w:val="continue"/>
            <w:tcBorders>
              <w:top w:val="nil"/>
            </w:tcBorders>
            <w:vAlign w:val="top"/>
          </w:tcPr>
          <w:p w14:paraId="170C49D0">
            <w:pPr>
              <w:rPr>
                <w:rFonts w:ascii="Arial"/>
                <w:sz w:val="21"/>
              </w:rPr>
            </w:pPr>
          </w:p>
        </w:tc>
        <w:tc>
          <w:tcPr>
            <w:tcW w:w="2682" w:type="dxa"/>
            <w:vAlign w:val="top"/>
          </w:tcPr>
          <w:p w14:paraId="51B36BBE">
            <w:pPr>
              <w:pStyle w:val="6"/>
              <w:spacing w:before="208" w:line="189" w:lineRule="auto"/>
              <w:ind w:left="746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сильные электромагнитные помехи</w:t>
            </w:r>
          </w:p>
        </w:tc>
        <w:tc>
          <w:tcPr>
            <w:tcW w:w="4548" w:type="dxa"/>
            <w:vAlign w:val="top"/>
          </w:tcPr>
          <w:p w14:paraId="5BC20F64">
            <w:pPr>
              <w:pStyle w:val="6"/>
              <w:spacing w:before="208" w:line="189" w:lineRule="auto"/>
              <w:ind w:left="155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Сбросьте время</w:t>
            </w:r>
          </w:p>
        </w:tc>
      </w:tr>
      <w:tr w14:paraId="1B541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568" w:type="dxa"/>
            <w:vAlign w:val="top"/>
          </w:tcPr>
          <w:p w14:paraId="57A62775">
            <w:pPr>
              <w:pStyle w:val="6"/>
              <w:spacing w:before="287" w:line="190" w:lineRule="auto"/>
              <w:ind w:left="20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Калибровка нуля недоступна</w:t>
            </w:r>
          </w:p>
        </w:tc>
        <w:tc>
          <w:tcPr>
            <w:tcW w:w="2682" w:type="dxa"/>
            <w:vAlign w:val="top"/>
          </w:tcPr>
          <w:p w14:paraId="57F37C82">
            <w:pPr>
              <w:pStyle w:val="6"/>
              <w:spacing w:before="289" w:line="189" w:lineRule="auto"/>
              <w:ind w:left="501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Чрезмерный дрейф датчика</w:t>
            </w:r>
          </w:p>
        </w:tc>
        <w:tc>
          <w:tcPr>
            <w:tcW w:w="4548" w:type="dxa"/>
            <w:vAlign w:val="top"/>
          </w:tcPr>
          <w:p w14:paraId="02ED13C0">
            <w:pPr>
              <w:pStyle w:val="6"/>
              <w:spacing w:before="289" w:line="188" w:lineRule="auto"/>
              <w:ind w:left="1074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Своевременно откалибруйте или замените датчик</w:t>
            </w:r>
          </w:p>
        </w:tc>
      </w:tr>
      <w:tr w14:paraId="43296E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2568" w:type="dxa"/>
            <w:vAlign w:val="top"/>
          </w:tcPr>
          <w:p w14:paraId="1FE2D238">
            <w:pPr>
              <w:pStyle w:val="6"/>
              <w:spacing w:before="208" w:line="284" w:lineRule="auto"/>
              <w:ind w:left="803" w:right="202" w:hanging="600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Показания на основном интерфейсе измерений прибора неточны.</w:t>
            </w:r>
          </w:p>
        </w:tc>
        <w:tc>
          <w:tcPr>
            <w:tcW w:w="2682" w:type="dxa"/>
            <w:vAlign w:val="top"/>
          </w:tcPr>
          <w:p w14:paraId="62285871">
            <w:pPr>
              <w:spacing w:line="408" w:lineRule="auto"/>
              <w:rPr>
                <w:rFonts w:ascii="Arial"/>
                <w:sz w:val="21"/>
              </w:rPr>
            </w:pPr>
          </w:p>
          <w:p w14:paraId="0188ECE9">
            <w:pPr>
              <w:pStyle w:val="6"/>
              <w:spacing w:before="109" w:line="189" w:lineRule="auto"/>
              <w:ind w:left="741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Дрейф датчика</w:t>
            </w:r>
          </w:p>
        </w:tc>
        <w:tc>
          <w:tcPr>
            <w:tcW w:w="4548" w:type="dxa"/>
            <w:vAlign w:val="top"/>
          </w:tcPr>
          <w:p w14:paraId="14BD7F85">
            <w:pPr>
              <w:spacing w:line="407" w:lineRule="auto"/>
              <w:rPr>
                <w:rFonts w:ascii="Arial"/>
                <w:sz w:val="21"/>
              </w:rPr>
            </w:pPr>
          </w:p>
          <w:p w14:paraId="725A599D">
            <w:pPr>
              <w:pStyle w:val="6"/>
              <w:spacing w:before="109" w:line="189" w:lineRule="auto"/>
              <w:ind w:left="1553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Выполните калибровку нуля</w:t>
            </w:r>
          </w:p>
        </w:tc>
      </w:tr>
      <w:tr w14:paraId="03D263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2568" w:type="dxa"/>
            <w:vAlign w:val="top"/>
          </w:tcPr>
          <w:p w14:paraId="1E068EC2">
            <w:pPr>
              <w:pStyle w:val="6"/>
              <w:spacing w:before="209" w:line="285" w:lineRule="auto"/>
              <w:ind w:left="685" w:right="202" w:hanging="472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Когда прибор на основном интерфейсе измерений показывает полную шкалу</w:t>
            </w:r>
          </w:p>
        </w:tc>
        <w:tc>
          <w:tcPr>
            <w:tcW w:w="2682" w:type="dxa"/>
            <w:vAlign w:val="top"/>
          </w:tcPr>
          <w:p w14:paraId="69FCF790">
            <w:pPr>
              <w:spacing w:line="406" w:lineRule="auto"/>
              <w:rPr>
                <w:rFonts w:ascii="Arial"/>
                <w:sz w:val="21"/>
              </w:rPr>
            </w:pPr>
          </w:p>
          <w:p w14:paraId="31F04440">
            <w:pPr>
              <w:pStyle w:val="6"/>
              <w:spacing w:before="109" w:line="190" w:lineRule="auto"/>
              <w:ind w:left="741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Отказ датчика</w:t>
            </w:r>
          </w:p>
        </w:tc>
        <w:tc>
          <w:tcPr>
            <w:tcW w:w="4548" w:type="dxa"/>
            <w:vAlign w:val="top"/>
          </w:tcPr>
          <w:p w14:paraId="07D36EF7">
            <w:pPr>
              <w:spacing w:line="408" w:lineRule="auto"/>
              <w:rPr>
                <w:rFonts w:ascii="Arial"/>
                <w:sz w:val="21"/>
              </w:rPr>
            </w:pPr>
          </w:p>
          <w:p w14:paraId="3DC8B5E4">
            <w:pPr>
              <w:pStyle w:val="6"/>
              <w:spacing w:before="110" w:line="188" w:lineRule="auto"/>
              <w:ind w:left="475"/>
              <w:rPr>
                <w:rFonts w:hint="default"/>
                <w:lang w:val="en-US"/>
              </w:rPr>
            </w:pPr>
            <w:r>
              <w:rPr>
                <w:rFonts w:ascii="Times New Roman" w:hAnsi="PingFang SC" w:eastAsia="PingFang SC" w:cs="PingFang SC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en-US" w:bidi="ar-SA"/>
              </w:rPr>
              <w:t>Обратитесь к дилеру или производителю для замены датчика.</w:t>
            </w:r>
          </w:p>
        </w:tc>
      </w:tr>
    </w:tbl>
    <w:p w14:paraId="7C2E96AD">
      <w:pPr>
        <w:rPr>
          <w:rFonts w:ascii="Arial"/>
          <w:sz w:val="21"/>
        </w:rPr>
      </w:pPr>
    </w:p>
    <w:p w14:paraId="15717963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850" w:h="16783"/>
          <w:pgMar w:top="1231" w:right="1023" w:bottom="875" w:left="1023" w:header="0" w:footer="685" w:gutter="0"/>
          <w:cols w:space="720" w:num="1"/>
        </w:sectPr>
      </w:pPr>
    </w:p>
    <w:p w14:paraId="4A36F688">
      <w:pPr>
        <w:pStyle w:val="2"/>
        <w:spacing w:before="54" w:line="189" w:lineRule="auto"/>
        <w:ind w:left="4"/>
        <w:outlineLvl w:val="0"/>
        <w:rPr>
          <w:rFonts w:hint="default"/>
          <w:sz w:val="28"/>
          <w:szCs w:val="28"/>
          <w:lang w:val="en-US"/>
        </w:rPr>
      </w:pPr>
      <w:bookmarkStart w:id="34" w:name="bookmark29"/>
      <w:bookmarkEnd w:id="34"/>
      <w:bookmarkStart w:id="35" w:name="bookmark28"/>
      <w:bookmarkEnd w:id="35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5"/>
          <w:kern w:val="0"/>
          <w:sz w:val="28"/>
          <w:szCs w:val="28"/>
          <w:lang w:val="en-US" w:eastAsia="en-US" w:bidi="ar-SA"/>
        </w:rPr>
        <w:t>VII. Хранение</w:t>
      </w:r>
    </w:p>
    <w:p w14:paraId="6459A11B">
      <w:pPr>
        <w:pStyle w:val="2"/>
        <w:spacing w:before="197" w:line="345" w:lineRule="auto"/>
        <w:ind w:left="3" w:right="69" w:firstLine="438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Портативные сигнализаторы газа следует хранить в вентилируемом помещении с температурой окружающего воздуха от -20°C до 60°C и относительной влажностью не выше 93%, при этом воздух не должен содержать вредных газов или примесей, способных вызвать коррозию приборов.</w:t>
      </w:r>
    </w:p>
    <w:p w14:paraId="2900055C">
      <w:pPr>
        <w:spacing w:line="256" w:lineRule="auto"/>
        <w:rPr>
          <w:rFonts w:ascii="Arial"/>
          <w:sz w:val="21"/>
        </w:rPr>
      </w:pPr>
    </w:p>
    <w:p w14:paraId="4E4F19A8">
      <w:pPr>
        <w:spacing w:line="256" w:lineRule="auto"/>
        <w:rPr>
          <w:rFonts w:ascii="Arial"/>
          <w:sz w:val="21"/>
        </w:rPr>
      </w:pPr>
    </w:p>
    <w:p w14:paraId="4E9B88F5">
      <w:pPr>
        <w:pStyle w:val="2"/>
        <w:spacing w:before="128" w:line="188" w:lineRule="auto"/>
        <w:outlineLvl w:val="0"/>
        <w:rPr>
          <w:rFonts w:hint="default"/>
          <w:sz w:val="28"/>
          <w:szCs w:val="28"/>
          <w:lang w:val="en-US"/>
        </w:rPr>
      </w:pPr>
      <w:bookmarkStart w:id="36" w:name="bookmark30"/>
      <w:bookmarkEnd w:id="36"/>
      <w:bookmarkStart w:id="37" w:name="bookmark31"/>
      <w:bookmarkEnd w:id="37"/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-8"/>
          <w:kern w:val="0"/>
          <w:sz w:val="28"/>
          <w:szCs w:val="28"/>
          <w:lang w:val="en-US" w:eastAsia="en-US" w:bidi="ar-SA"/>
        </w:rPr>
        <w:t>VIII. Комплект поставки</w:t>
      </w:r>
    </w:p>
    <w:p w14:paraId="1C898EF7">
      <w:pPr>
        <w:pStyle w:val="2"/>
        <w:spacing w:before="240" w:line="361" w:lineRule="auto"/>
        <w:ind w:left="1" w:firstLine="484"/>
        <w:rPr>
          <w:rFonts w:hint="default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В комплект поставки портативного сигнализатора газа входят: один портативный сигнализатор газа, одно зарядное устройство, одно руководство по эксплуатации и один гарантийный талон с сертификатом соответствия.</w:t>
      </w:r>
    </w:p>
    <w:p w14:paraId="41479022">
      <w:pPr>
        <w:spacing w:line="361" w:lineRule="auto"/>
        <w:sectPr>
          <w:footerReference r:id="rId15" w:type="default"/>
          <w:pgSz w:w="11850" w:h="16783"/>
          <w:pgMar w:top="1264" w:right="1066" w:bottom="875" w:left="1133" w:header="0" w:footer="685" w:gutter="0"/>
          <w:cols w:space="720" w:num="1"/>
        </w:sectPr>
      </w:pPr>
    </w:p>
    <w:p w14:paraId="5DE6B9BB">
      <w:pPr>
        <w:spacing w:line="242" w:lineRule="auto"/>
        <w:rPr>
          <w:rFonts w:ascii="Arial"/>
          <w:sz w:val="21"/>
        </w:rPr>
      </w:pPr>
    </w:p>
    <w:p w14:paraId="18F3E6B2">
      <w:pPr>
        <w:spacing w:line="242" w:lineRule="auto"/>
        <w:rPr>
          <w:rFonts w:ascii="Arial"/>
          <w:sz w:val="21"/>
        </w:rPr>
      </w:pPr>
    </w:p>
    <w:p w14:paraId="646FEA16">
      <w:pPr>
        <w:spacing w:line="242" w:lineRule="auto"/>
        <w:rPr>
          <w:rFonts w:ascii="Arial"/>
          <w:sz w:val="21"/>
        </w:rPr>
      </w:pPr>
    </w:p>
    <w:p w14:paraId="65C32EF1">
      <w:pPr>
        <w:spacing w:line="242" w:lineRule="auto"/>
        <w:rPr>
          <w:rFonts w:ascii="Arial"/>
          <w:sz w:val="21"/>
        </w:rPr>
      </w:pPr>
    </w:p>
    <w:p w14:paraId="32F6838B">
      <w:pPr>
        <w:spacing w:line="242" w:lineRule="auto"/>
        <w:rPr>
          <w:rFonts w:ascii="Arial"/>
          <w:sz w:val="21"/>
        </w:rPr>
      </w:pPr>
    </w:p>
    <w:p w14:paraId="53B64A62">
      <w:pPr>
        <w:spacing w:line="242" w:lineRule="auto"/>
        <w:rPr>
          <w:rFonts w:ascii="Arial"/>
          <w:sz w:val="21"/>
        </w:rPr>
      </w:pPr>
    </w:p>
    <w:p w14:paraId="4322CEB2">
      <w:pPr>
        <w:spacing w:line="242" w:lineRule="auto"/>
        <w:rPr>
          <w:rFonts w:ascii="Arial"/>
          <w:sz w:val="21"/>
        </w:rPr>
      </w:pPr>
    </w:p>
    <w:p w14:paraId="201EC50E">
      <w:pPr>
        <w:spacing w:line="242" w:lineRule="auto"/>
        <w:rPr>
          <w:rFonts w:ascii="Arial"/>
          <w:sz w:val="21"/>
        </w:rPr>
      </w:pPr>
    </w:p>
    <w:p w14:paraId="1BC5F0EF">
      <w:pPr>
        <w:spacing w:line="242" w:lineRule="auto"/>
        <w:rPr>
          <w:rFonts w:ascii="Arial"/>
          <w:sz w:val="21"/>
        </w:rPr>
      </w:pPr>
    </w:p>
    <w:p w14:paraId="547E5BC9">
      <w:pPr>
        <w:spacing w:line="242" w:lineRule="auto"/>
        <w:rPr>
          <w:rFonts w:ascii="Arial"/>
          <w:sz w:val="21"/>
        </w:rPr>
      </w:pPr>
    </w:p>
    <w:p w14:paraId="470D55E8">
      <w:pPr>
        <w:spacing w:line="242" w:lineRule="auto"/>
        <w:rPr>
          <w:rFonts w:ascii="Arial"/>
          <w:sz w:val="21"/>
        </w:rPr>
      </w:pPr>
    </w:p>
    <w:p w14:paraId="77AA5785">
      <w:pPr>
        <w:spacing w:line="243" w:lineRule="auto"/>
        <w:rPr>
          <w:rFonts w:ascii="Arial"/>
          <w:sz w:val="21"/>
        </w:rPr>
      </w:pPr>
    </w:p>
    <w:p w14:paraId="050EEACD">
      <w:pPr>
        <w:spacing w:line="243" w:lineRule="auto"/>
        <w:rPr>
          <w:rFonts w:ascii="Arial"/>
          <w:sz w:val="21"/>
        </w:rPr>
      </w:pPr>
    </w:p>
    <w:p w14:paraId="5E6B5A8A">
      <w:pPr>
        <w:spacing w:line="243" w:lineRule="auto"/>
        <w:rPr>
          <w:rFonts w:ascii="Arial"/>
          <w:sz w:val="21"/>
        </w:rPr>
      </w:pPr>
    </w:p>
    <w:p w14:paraId="1ADA7A07">
      <w:pPr>
        <w:spacing w:line="243" w:lineRule="auto"/>
        <w:rPr>
          <w:rFonts w:ascii="Arial"/>
          <w:sz w:val="21"/>
        </w:rPr>
      </w:pPr>
    </w:p>
    <w:p w14:paraId="723CD2FA">
      <w:pPr>
        <w:spacing w:line="243" w:lineRule="auto"/>
        <w:rPr>
          <w:rFonts w:ascii="Arial"/>
          <w:sz w:val="21"/>
        </w:rPr>
      </w:pPr>
    </w:p>
    <w:p w14:paraId="579D55EF">
      <w:pPr>
        <w:spacing w:line="243" w:lineRule="auto"/>
        <w:rPr>
          <w:rFonts w:ascii="Arial"/>
          <w:sz w:val="21"/>
        </w:rPr>
      </w:pPr>
    </w:p>
    <w:p w14:paraId="7A91CDC1">
      <w:pPr>
        <w:spacing w:line="243" w:lineRule="auto"/>
        <w:rPr>
          <w:rFonts w:ascii="Arial"/>
          <w:sz w:val="21"/>
        </w:rPr>
      </w:pPr>
    </w:p>
    <w:p w14:paraId="259F1EF5">
      <w:pPr>
        <w:spacing w:line="243" w:lineRule="auto"/>
        <w:rPr>
          <w:rFonts w:ascii="Arial"/>
          <w:sz w:val="21"/>
        </w:rPr>
      </w:pPr>
    </w:p>
    <w:p w14:paraId="6D0888B6">
      <w:pPr>
        <w:pStyle w:val="2"/>
        <w:spacing w:before="159" w:line="194" w:lineRule="auto"/>
        <w:ind w:left="3"/>
        <w:rPr>
          <w:rFonts w:hint="default"/>
          <w:sz w:val="35"/>
          <w:szCs w:val="35"/>
          <w:lang w:val="en-US"/>
        </w:rPr>
      </w:pP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5"/>
          <w:kern w:val="0"/>
          <w:sz w:val="35"/>
          <w:szCs w:val="35"/>
          <w:lang w:val="en-US" w:eastAsia="en-US" w:bidi="ar-SA"/>
        </w:rPr>
        <w:t>Henan Otywell Electronic Technology Co., Ltd.</w:t>
      </w:r>
      <w:r>
        <w:rPr>
          <w:rFonts w:hint="default" w:ascii="Times New Roman" w:cs="PingFang SC"/>
          <w:b/>
          <w:bCs/>
          <w:snapToGrid w:val="0"/>
          <w:color w:val="000000"/>
          <w:spacing w:val="5"/>
          <w:kern w:val="0"/>
          <w:sz w:val="35"/>
          <w:szCs w:val="35"/>
          <w:lang w:val="en-US" w:eastAsia="en-US" w:bidi="ar-SA"/>
        </w:rPr>
        <w:t/>
      </w:r>
      <w:r>
        <w:rPr>
          <w:rFonts w:ascii="Times New Roman" w:hAnsi="PingFang SC" w:eastAsia="PingFang SC" w:cs="PingFang SC"/>
          <w:b/>
          <w:bCs/>
          <w:snapToGrid w:val="0"/>
          <w:color w:val="000000"/>
          <w:spacing w:val="5"/>
          <w:kern w:val="0"/>
          <w:sz w:val="35"/>
          <w:szCs w:val="35"/>
          <w:lang w:val="en-US" w:eastAsia="en-US" w:bidi="ar-SA"/>
        </w:rPr>
        <w:t/>
      </w:r>
    </w:p>
    <w:p w14:paraId="3D21B17E">
      <w:pPr>
        <w:pStyle w:val="2"/>
        <w:spacing w:before="139" w:line="237" w:lineRule="auto"/>
        <w:rPr>
          <w:rFonts w:hint="default"/>
          <w:sz w:val="20"/>
          <w:szCs w:val="20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7"/>
          <w:kern w:val="0"/>
          <w:sz w:val="20"/>
          <w:szCs w:val="20"/>
          <w:lang w:val="en-US" w:eastAsia="en-US" w:bidi="ar-SA"/>
        </w:rPr>
        <w:t>Адрес: корпус 2, здание 38, Lian Dong U Valley, на пересечении дороги Цзяньян и улицы Ляньхуа, зона высоких технологий, город Чжэнчжоу, провинция Хэнань</w:t>
      </w:r>
    </w:p>
    <w:p w14:paraId="7E1A53F5">
      <w:pPr>
        <w:pStyle w:val="2"/>
        <w:spacing w:before="265" w:line="236" w:lineRule="auto"/>
        <w:ind w:left="4"/>
        <w:rPr>
          <w:rFonts w:hint="default"/>
          <w:sz w:val="20"/>
          <w:szCs w:val="20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spacing w:val="3"/>
          <w:kern w:val="0"/>
          <w:sz w:val="20"/>
          <w:szCs w:val="20"/>
          <w:lang w:val="en-US" w:eastAsia="en-US" w:bidi="ar-SA"/>
        </w:rPr>
        <w:t>Горячая линия: 400-811-8873</w:t>
      </w:r>
    </w:p>
    <w:p w14:paraId="5F4B83D9">
      <w:pPr>
        <w:pStyle w:val="2"/>
        <w:spacing w:before="266" w:line="224" w:lineRule="auto"/>
        <w:ind w:left="15"/>
        <w:rPr>
          <w:rFonts w:hint="default"/>
          <w:sz w:val="20"/>
          <w:szCs w:val="20"/>
          <w:lang w:val="en-US"/>
        </w:rPr>
      </w:pPr>
      <w:r>
        <w:rPr>
          <w:rFonts w:ascii="Times New Roman" w:hAnsi="PingFang SC" w:eastAsia="PingFang SC" w:cs="PingFang SC"/>
          <w:snapToGrid w:val="0"/>
          <w:color w:val="000000"/>
          <w:kern w:val="0"/>
          <w:sz w:val="20"/>
          <w:szCs w:val="20"/>
          <w:lang w:val="en-US" w:eastAsia="en-US" w:bidi="ar-SA"/>
        </w:rPr>
        <w:t>Веб-сайт: http://www.otywell.com</w:t>
      </w:r>
    </w:p>
    <w:sectPr>
      <w:footerReference r:id="rId16" w:type="default"/>
      <w:pgSz w:w="11850" w:h="16783"/>
      <w:pgMar w:top="1426" w:right="1777" w:bottom="400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04A34">
    <w:pPr>
      <w:spacing w:line="188" w:lineRule="auto"/>
      <w:ind w:left="4580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10"/>
        <w:kern w:val="0"/>
        <w:sz w:val="20"/>
        <w:szCs w:val="20"/>
        <w:lang w:val="en-US" w:eastAsia="en-US" w:bidi="ar-SA"/>
      </w:rPr>
      <w:t>1 / 11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EA391">
    <w:pPr>
      <w:spacing w:line="188" w:lineRule="auto"/>
      <w:ind w:left="4553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5"/>
        <w:kern w:val="0"/>
        <w:sz w:val="20"/>
        <w:szCs w:val="20"/>
        <w:lang w:val="en-US" w:eastAsia="en-US" w:bidi="ar-SA"/>
      </w:rPr>
      <w:t>2 / 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48DFF">
    <w:pPr>
      <w:spacing w:line="188" w:lineRule="auto"/>
      <w:ind w:left="4677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6"/>
        <w:kern w:val="0"/>
        <w:sz w:val="20"/>
        <w:szCs w:val="20"/>
        <w:lang w:val="en-US" w:eastAsia="en-US" w:bidi="ar-SA"/>
      </w:rPr>
      <w:t>3 / 11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C3738">
    <w:pPr>
      <w:spacing w:line="188" w:lineRule="auto"/>
      <w:ind w:left="4672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4"/>
        <w:kern w:val="0"/>
        <w:sz w:val="20"/>
        <w:szCs w:val="20"/>
        <w:lang w:val="en-US" w:eastAsia="en-US" w:bidi="ar-SA"/>
      </w:rPr>
      <w:t>4 / 11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EE9E6">
    <w:pPr>
      <w:spacing w:line="188" w:lineRule="auto"/>
      <w:ind w:left="4565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6"/>
        <w:kern w:val="0"/>
        <w:sz w:val="20"/>
        <w:szCs w:val="20"/>
        <w:lang w:val="en-US" w:eastAsia="en-US" w:bidi="ar-SA"/>
      </w:rPr>
      <w:t>5 / 11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6E2A3">
    <w:pPr>
      <w:spacing w:line="188" w:lineRule="auto"/>
      <w:ind w:left="4562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6"/>
        <w:kern w:val="0"/>
        <w:sz w:val="20"/>
        <w:szCs w:val="20"/>
        <w:lang w:val="en-US" w:eastAsia="en-US" w:bidi="ar-SA"/>
      </w:rPr>
      <w:t>6 / 11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2A8DD">
    <w:pPr>
      <w:spacing w:line="188" w:lineRule="auto"/>
      <w:ind w:left="4563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5"/>
        <w:kern w:val="0"/>
        <w:sz w:val="20"/>
        <w:szCs w:val="20"/>
        <w:lang w:val="en-US" w:eastAsia="en-US" w:bidi="ar-SA"/>
      </w:rPr>
      <w:t>7 / 11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9AB39">
    <w:pPr>
      <w:spacing w:line="188" w:lineRule="auto"/>
      <w:ind w:left="4556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7"/>
        <w:kern w:val="0"/>
        <w:sz w:val="20"/>
        <w:szCs w:val="20"/>
        <w:lang w:val="en-US" w:eastAsia="en-US" w:bidi="ar-SA"/>
      </w:rPr>
      <w:t>8 / 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7F3D3">
    <w:pPr>
      <w:spacing w:line="188" w:lineRule="auto"/>
      <w:ind w:left="4564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6"/>
        <w:kern w:val="0"/>
        <w:sz w:val="20"/>
        <w:szCs w:val="20"/>
        <w:lang w:val="en-US" w:eastAsia="en-US" w:bidi="ar-SA"/>
      </w:rPr>
      <w:t>9 / 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430EB">
    <w:pPr>
      <w:spacing w:line="188" w:lineRule="auto"/>
      <w:ind w:left="4638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7"/>
        <w:kern w:val="0"/>
        <w:sz w:val="20"/>
        <w:szCs w:val="20"/>
        <w:lang w:val="en-US" w:eastAsia="en-US" w:bidi="ar-SA"/>
      </w:rPr>
      <w:t>10 / 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6842C">
    <w:pPr>
      <w:spacing w:line="188" w:lineRule="auto"/>
      <w:ind w:left="4530"/>
      <w:rPr>
        <w:rFonts w:hint="default" w:ascii="Times New Roman" w:hAnsi="Times New Roman" w:eastAsia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7"/>
        <w:kern w:val="0"/>
        <w:sz w:val="20"/>
        <w:szCs w:val="20"/>
        <w:lang w:val="en-US" w:eastAsia="en-US" w:bidi="ar-SA"/>
      </w:rPr>
      <w:t>11 / 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A448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dit="readOnly"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524C32"/>
    <w:rsid w:val="59DF9AD8"/>
    <w:rsid w:val="7FBC64E6"/>
    <w:rsid w:val="FDA717E1"/>
    <w:rsid w:val="FFDF20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image" Target="media/image20.jpeg"/><Relationship Id="rId36" Type="http://schemas.openxmlformats.org/officeDocument/2006/relationships/image" Target="media/image19.jpeg"/><Relationship Id="rId35" Type="http://schemas.openxmlformats.org/officeDocument/2006/relationships/image" Target="media/image18.jpeg"/><Relationship Id="rId34" Type="http://schemas.openxmlformats.org/officeDocument/2006/relationships/image" Target="media/image17.jpeg"/><Relationship Id="rId33" Type="http://schemas.openxmlformats.org/officeDocument/2006/relationships/image" Target="media/image16.jpeg"/><Relationship Id="rId32" Type="http://schemas.openxmlformats.org/officeDocument/2006/relationships/image" Target="media/image15.jpeg"/><Relationship Id="rId31" Type="http://schemas.openxmlformats.org/officeDocument/2006/relationships/image" Target="media/image14.jpeg"/><Relationship Id="rId30" Type="http://schemas.openxmlformats.org/officeDocument/2006/relationships/image" Target="media/image13.jpeg"/><Relationship Id="rId3" Type="http://schemas.openxmlformats.org/officeDocument/2006/relationships/footnotes" Target="footnotes.xml"/><Relationship Id="rId29" Type="http://schemas.openxmlformats.org/officeDocument/2006/relationships/image" Target="media/image12.jpeg"/><Relationship Id="rId28" Type="http://schemas.openxmlformats.org/officeDocument/2006/relationships/image" Target="media/image11.jpeg"/><Relationship Id="rId27" Type="http://schemas.openxmlformats.org/officeDocument/2006/relationships/image" Target="media/image10.jpeg"/><Relationship Id="rId26" Type="http://schemas.openxmlformats.org/officeDocument/2006/relationships/image" Target="media/image9.jpeg"/><Relationship Id="rId25" Type="http://schemas.openxmlformats.org/officeDocument/2006/relationships/image" Target="media/image8.jpeg"/><Relationship Id="rId24" Type="http://schemas.openxmlformats.org/officeDocument/2006/relationships/image" Target="media/image7.jpeg"/><Relationship Id="rId23" Type="http://schemas.openxmlformats.org/officeDocument/2006/relationships/image" Target="media/image6.jpe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png"/><Relationship Id="rId18" Type="http://schemas.openxmlformats.org/officeDocument/2006/relationships/image" Target="media/image1.png"/><Relationship Id="rId17" Type="http://schemas.openxmlformats.org/officeDocument/2006/relationships/theme" Target="theme/theme1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17</Pages>
  <Words>2602</Words>
  <Characters>14392</Characters>
  <TotalTime>1</TotalTime>
  <ScaleCrop>false</ScaleCrop>
  <LinksUpToDate>false</LinksUpToDate>
  <CharactersWithSpaces>16778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2025-10-10T17:31:00Z</dcterms:created>
  <dc:creator>任兴会</dc:creator>
  <cp:lastModifiedBy>小牛同学</cp:lastModifiedBy>
  <dcterms:modified xsi:type="dcterms:W3CDTF">2026-09-15T06:31:38Z</dcterms:modified>
  <dc:title>KP816NEW2014版系列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2026-04-10T16:43:46Z</vt:filetime>
  </property>
  <property fmtid="{D5CDD505-2E9C-101B-9397-08002B2CF9AE}" pid="4" name="KSOProductBuildVer">
    <vt:lpwstr>2052-12.1.0.28505</vt:lpwstr>
  </property>
  <property fmtid="{D5CDD505-2E9C-101B-9397-08002B2CF9AE}" pid="5" name="ICV">
    <vt:lpwstr>96CBB665E45D42E8963C802AC5DBFE92_13</vt:lpwstr>
  </property>
</Properties>
</file>