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7F8AD">
      <w:pPr>
        <w:spacing w:line="310" w:lineRule="exact"/>
        <w:ind w:firstLine="3405"/>
      </w:pPr>
      <w:bookmarkStart w:id="10" w:name="_GoBack"/>
      <w:bookmarkEnd w:id="10"/>
    </w:p>
    <w:p w14:paraId="7B1A9B0D">
      <w:pPr>
        <w:spacing w:before="95" w:line="199" w:lineRule="auto"/>
        <w:ind w:left="1449"/>
        <w:jc w:val="right"/>
        <w:rPr>
          <w:rFonts w:hint="default" w:ascii="Arial" w:hAnsi="Arial" w:eastAsia="Arial" w:cs="Arial"/>
          <w:sz w:val="33"/>
          <w:szCs w:val="33"/>
          <w:lang w:val="en-US"/>
        </w:rPr>
      </w:pPr>
      <w:r>
        <w:rPr>
          <w:rFonts w:ascii="Times New Roman" w:hAnsi="Arial" w:eastAsia="Arial" w:cs="Arial"/>
          <w:b/>
          <w:bCs/>
          <w:snapToGrid w:val="0"/>
          <w:color w:val="000000"/>
          <w:spacing w:val="-2"/>
          <w:kern w:val="0"/>
          <w:sz w:val="33"/>
          <w:szCs w:val="33"/>
          <w:lang w:val="en-US" w:eastAsia="en-US" w:bidi="ar-SA"/>
        </w:rPr>
        <w:t>Otywell ®</w:t>
      </w:r>
    </w:p>
    <w:p w14:paraId="6F75038C">
      <w:pPr>
        <w:spacing w:before="74" w:line="241" w:lineRule="auto"/>
        <w:rPr>
          <w:rFonts w:hint="default" w:ascii="华文行楷" w:hAnsi="华文行楷" w:eastAsia="华文行楷" w:cs="华文行楷"/>
          <w:sz w:val="24"/>
          <w:szCs w:val="24"/>
          <w:lang w:val="en-US"/>
        </w:rPr>
      </w:pPr>
    </w:p>
    <w:p w14:paraId="0D8C38BD">
      <w:pPr>
        <w:spacing w:before="154" w:line="275" w:lineRule="auto"/>
        <w:ind w:left="794" w:leftChars="378" w:right="1066" w:firstLine="18" w:firstLineChars="5"/>
        <w:jc w:val="center"/>
        <w:rPr>
          <w:rFonts w:hint="default" w:ascii="Arial" w:hAnsi="Arial" w:eastAsia="Arial" w:cs="Arial"/>
          <w:sz w:val="37"/>
          <w:szCs w:val="37"/>
          <w:lang w:val="en-US"/>
        </w:rPr>
      </w:pPr>
      <w:r>
        <w:rPr>
          <w:rFonts w:ascii="Times New Roman" w:hAnsi="Arial" w:eastAsia="Arial" w:cs="Arial"/>
          <w:b/>
          <w:bCs/>
          <w:snapToGrid w:val="0"/>
          <w:color w:val="000000"/>
          <w:spacing w:val="-2"/>
          <w:kern w:val="0"/>
          <w:sz w:val="37"/>
          <w:szCs w:val="37"/>
          <w:lang w:val="en-US" w:eastAsia="en-US" w:bidi="ar-SA"/>
        </w:rPr>
        <w:t>Controlador de alarma de gas GDB9/GDB10</w:t>
      </w:r>
    </w:p>
    <w:p w14:paraId="26952D98">
      <w:pPr>
        <w:spacing w:before="1" w:line="220" w:lineRule="auto"/>
        <w:ind w:left="1180"/>
        <w:jc w:val="left"/>
        <w:rPr>
          <w:rFonts w:hint="default" w:ascii="黑体" w:hAnsi="黑体" w:eastAsia="黑体" w:cs="黑体"/>
          <w:sz w:val="37"/>
          <w:szCs w:val="37"/>
          <w:lang w:val="en-US"/>
        </w:rPr>
      </w:pPr>
      <w:r>
        <w:rPr>
          <w:rFonts w:ascii="Times New Roman" w:hAnsi="黑体" w:eastAsia="黑体" w:cs="黑体"/>
          <w:b/>
          <w:bCs/>
          <w:snapToGrid w:val="0"/>
          <w:color w:val="000000"/>
          <w:spacing w:val="-1"/>
          <w:kern w:val="0"/>
          <w:sz w:val="37"/>
          <w:szCs w:val="37"/>
          <w:lang w:val="en-US" w:eastAsia="en-US" w:bidi="ar-SA"/>
        </w:rPr>
        <w:t>instrucciones de funcionamiento</w:t>
      </w:r>
    </w:p>
    <w:p w14:paraId="486B9F03">
      <w:pPr>
        <w:spacing w:line="298" w:lineRule="auto"/>
        <w:jc w:val="left"/>
        <w:rPr>
          <w:rFonts w:ascii="Arial"/>
          <w:sz w:val="21"/>
        </w:rPr>
      </w:pPr>
    </w:p>
    <w:p w14:paraId="225E133B">
      <w:pPr>
        <w:spacing w:line="2810" w:lineRule="exact"/>
        <w:ind w:firstLine="1125"/>
      </w:pPr>
      <w:r>
        <w:rPr>
          <w:position w:val="-56"/>
        </w:rPr>
        <w:drawing>
          <wp:inline distT="0" distB="0" distL="0" distR="0">
            <wp:extent cx="1263650" cy="17837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1263663" cy="1784327"/>
                    </a:xfrm>
                    <a:prstGeom prst="rect">
                      <a:avLst/>
                    </a:prstGeom>
                  </pic:spPr>
                </pic:pic>
              </a:graphicData>
            </a:graphic>
          </wp:inline>
        </w:drawing>
      </w:r>
    </w:p>
    <w:p w14:paraId="7425E25A">
      <w:pPr>
        <w:spacing w:line="386" w:lineRule="auto"/>
        <w:rPr>
          <w:rFonts w:ascii="Arial"/>
          <w:sz w:val="21"/>
        </w:rPr>
      </w:pPr>
    </w:p>
    <w:p w14:paraId="6A77B06A">
      <w:pPr>
        <w:spacing w:before="78" w:line="315" w:lineRule="auto"/>
        <w:ind w:left="734" w:right="588" w:hanging="356"/>
        <w:rPr>
          <w:rFonts w:hint="default" w:ascii="黑体" w:hAnsi="黑体" w:eastAsia="黑体" w:cs="黑体"/>
          <w:sz w:val="19"/>
          <w:szCs w:val="19"/>
          <w:lang w:val="en-US"/>
        </w:rPr>
      </w:pPr>
      <w:r>
        <w:rPr>
          <w:rFonts w:ascii="Times New Roman" w:hAnsi="黑体" w:eastAsia="黑体" w:cs="黑体"/>
          <w:b/>
          <w:bCs/>
          <w:snapToGrid w:val="0"/>
          <w:color w:val="000000"/>
          <w:spacing w:val="-4"/>
          <w:kern w:val="0"/>
          <w:sz w:val="19"/>
          <w:szCs w:val="19"/>
          <w:lang w:val="en-US" w:eastAsia="en-US" w:bidi="ar-SA"/>
        </w:rPr>
        <w:t xml:space="preserve">Henan Otywell Electronic Technology Co., Ltd. es una empresa certificada con el sistema de gestión de la calidad ISO9001</w:t>
      </w:r>
      <w:r>
        <w:rPr>
          <w:rFonts w:hint="default" w:ascii="Times New Roman" w:hAnsi="黑体" w:eastAsia="黑体" w:cs="黑体"/>
          <w:b/>
          <w:bCs/>
          <w:snapToGrid w:val="0"/>
          <w:color w:val="000000"/>
          <w:spacing w:val="-4"/>
          <w:kern w:val="0"/>
          <w:sz w:val="19"/>
          <w:szCs w:val="19"/>
          <w:lang w:val="en-US" w:eastAsia="en-US" w:bidi="ar-SA"/>
        </w:rPr>
        <w:t xml:space="preserve"/>
      </w:r>
      <w:r>
        <w:rPr>
          <w:rFonts w:ascii="Times New Roman" w:hAnsi="黑体" w:eastAsia="黑体" w:cs="黑体"/>
          <w:b/>
          <w:bCs/>
          <w:snapToGrid w:val="0"/>
          <w:color w:val="000000"/>
          <w:spacing w:val="-4"/>
          <w:kern w:val="0"/>
          <w:sz w:val="19"/>
          <w:szCs w:val="19"/>
          <w:lang w:val="en-US" w:eastAsia="en-US" w:bidi="ar-SA"/>
        </w:rPr>
        <w:t/>
      </w:r>
    </w:p>
    <w:p w14:paraId="63D1E0A6">
      <w:pPr>
        <w:spacing w:before="91" w:line="178" w:lineRule="exact"/>
        <w:ind w:left="2855"/>
        <w:rPr>
          <w:rFonts w:hint="default" w:ascii="Arial" w:hAnsi="Arial" w:eastAsia="Arial" w:cs="Arial"/>
          <w:sz w:val="13"/>
          <w:szCs w:val="13"/>
          <w:lang w:val="en-US"/>
        </w:rPr>
      </w:pPr>
      <w:r>
        <w:rPr>
          <w:rFonts w:ascii="Times New Roman" w:hAnsi="Arial" w:eastAsia="Arial" w:cs="Arial"/>
          <w:snapToGrid w:val="0"/>
          <w:color w:val="000000"/>
          <w:spacing w:val="-5"/>
          <w:kern w:val="0"/>
          <w:position w:val="1"/>
          <w:sz w:val="13"/>
          <w:szCs w:val="13"/>
          <w:lang w:val="en-US" w:eastAsia="en-US" w:bidi="ar-SA"/>
        </w:rPr>
        <w:t>Versión impresa: OT20250919-V1.01</w:t>
      </w:r>
    </w:p>
    <w:p w14:paraId="4924DCCE">
      <w:pPr>
        <w:spacing w:line="178" w:lineRule="exact"/>
        <w:rPr>
          <w:rFonts w:ascii="Arial" w:hAnsi="Arial" w:eastAsia="Arial" w:cs="Arial"/>
          <w:sz w:val="13"/>
          <w:szCs w:val="13"/>
        </w:rPr>
        <w:sectPr>
          <w:pgSz w:w="6030" w:h="8300"/>
          <w:pgMar w:top="640" w:right="669" w:bottom="0" w:left="904" w:header="0" w:footer="0" w:gutter="0"/>
          <w:cols w:space="720" w:num="1"/>
        </w:sectPr>
      </w:pPr>
    </w:p>
    <w:p w14:paraId="02F3DE1C">
      <w:pPr>
        <w:pStyle w:val="2"/>
        <w:spacing w:before="38" w:line="221" w:lineRule="auto"/>
        <w:ind w:left="230"/>
        <w:rPr>
          <w:rFonts w:hint="default"/>
          <w:lang w:val="en-US"/>
        </w:rPr>
      </w:pPr>
      <w:r>
        <w:rPr>
          <w:rFonts w:ascii="Times New Roman" w:hAnsi="黑体" w:eastAsia="黑体" w:cs="黑体"/>
          <w:snapToGrid w:val="0"/>
          <w:color w:val="000000"/>
          <w:spacing w:val="4"/>
          <w:kern w:val="0"/>
          <w:sz w:val="12"/>
          <w:szCs w:val="12"/>
          <w:lang w:val="en-US" w:eastAsia="en-US" w:bidi="ar-SA"/>
        </w:rPr>
        <w:t>Gracias por elegir los productos de Henan Otywell Electronic Technology Co., Ltd.</w:t>
      </w:r>
    </w:p>
    <w:p w14:paraId="76A5A66C">
      <w:pPr>
        <w:pStyle w:val="2"/>
        <w:spacing w:before="81" w:line="213" w:lineRule="auto"/>
        <w:ind w:left="230"/>
        <w:rPr>
          <w:rFonts w:hint="default"/>
          <w:lang w:val="en-US"/>
        </w:rPr>
      </w:pPr>
      <w:r>
        <w:rPr>
          <w:rFonts w:ascii="Times New Roman" w:hAnsi="黑体" w:eastAsia="黑体" w:cs="黑体"/>
          <w:snapToGrid w:val="0"/>
          <w:color w:val="000000"/>
          <w:spacing w:val="4"/>
          <w:kern w:val="0"/>
          <w:sz w:val="12"/>
          <w:szCs w:val="12"/>
          <w:lang w:val="en-US" w:eastAsia="en-US" w:bidi="ar-SA"/>
        </w:rPr>
        <w:t>Conserve este manual adecuadamente para poder consultarlo y obtener ayuda fácilmente cuando lo necesite en el futuro.</w:t>
      </w:r>
    </w:p>
    <w:p w14:paraId="46D16770">
      <w:pPr>
        <w:spacing w:line="274" w:lineRule="auto"/>
        <w:rPr>
          <w:rFonts w:ascii="Arial"/>
          <w:sz w:val="21"/>
        </w:rPr>
      </w:pPr>
    </w:p>
    <w:p w14:paraId="07E2A5B1">
      <w:pPr>
        <w:pStyle w:val="2"/>
        <w:spacing w:before="39" w:line="221"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Declaración de derechos de autor</w:t>
      </w:r>
    </w:p>
    <w:p w14:paraId="62367BB0">
      <w:pPr>
        <w:spacing w:line="271" w:lineRule="auto"/>
        <w:rPr>
          <w:rFonts w:ascii="Arial"/>
          <w:sz w:val="21"/>
        </w:rPr>
      </w:pPr>
    </w:p>
    <w:p w14:paraId="0AA7C137">
      <w:pPr>
        <w:pStyle w:val="2"/>
        <w:spacing w:before="39" w:line="359" w:lineRule="auto"/>
        <w:ind w:firstLine="210"/>
        <w:jc w:val="both"/>
        <w:rPr>
          <w:rFonts w:hint="default"/>
          <w:lang w:val="en-US"/>
        </w:rPr>
      </w:pPr>
      <w:r>
        <w:rPr>
          <w:rFonts w:ascii="Times New Roman" w:hAnsi="黑体" w:eastAsia="黑体" w:cs="黑体"/>
          <w:snapToGrid w:val="0"/>
          <w:color w:val="000000"/>
          <w:spacing w:val="3"/>
          <w:kern w:val="0"/>
          <w:sz w:val="12"/>
          <w:szCs w:val="12"/>
          <w:lang w:val="en-US" w:eastAsia="en-US" w:bidi="ar-SA"/>
        </w:rPr>
        <w:t>Los derechos de autor de este manual pertenecen a Henan Otywell Electronic Technology Co., Ltd. Sin autorización por escrito, no podrá reproducirse, traducirse, almacenarse en bases de datos o sistemas de recuperación ni difundirse por ningún medio o procedimiento, como la transmisión electrónica, la fotocopia o la grabación de audio, ninguna parte de este manual.</w:t>
      </w:r>
    </w:p>
    <w:p w14:paraId="408CC194">
      <w:pPr>
        <w:pStyle w:val="2"/>
        <w:spacing w:line="351" w:lineRule="auto"/>
        <w:ind w:right="48" w:firstLine="200"/>
        <w:rPr>
          <w:rFonts w:hint="default"/>
          <w:lang w:val="en-US"/>
        </w:rPr>
      </w:pPr>
      <w:r>
        <w:rPr>
          <w:rFonts w:ascii="Times New Roman" w:hAnsi="黑体" w:eastAsia="黑体" w:cs="黑体"/>
          <w:snapToGrid w:val="0"/>
          <w:color w:val="000000"/>
          <w:spacing w:val="4"/>
          <w:kern w:val="0"/>
          <w:sz w:val="12"/>
          <w:szCs w:val="12"/>
          <w:lang w:val="en-US" w:eastAsia="en-US" w:bidi="ar-SA"/>
        </w:rPr>
        <w:t>Henan Otywell Electronic Technology Co., Ltd. se adhiere al principio del avance tecnológico y se esfuerza continuamente por mejorar sus productos y su rendimiento. La empresa se reserva el derecho a realizar cualquier modificación del producto sin previo aviso.</w:t>
      </w:r>
    </w:p>
    <w:p w14:paraId="2AAC6F7C">
      <w:pPr>
        <w:pStyle w:val="2"/>
        <w:spacing w:before="3" w:line="348" w:lineRule="auto"/>
        <w:ind w:right="47" w:firstLine="230"/>
        <w:rPr>
          <w:rFonts w:hint="default"/>
          <w:lang w:val="en-US"/>
        </w:rPr>
      </w:pPr>
      <w:r>
        <w:rPr>
          <w:rFonts w:ascii="Times New Roman" w:hAnsi="黑体" w:eastAsia="黑体" w:cs="黑体"/>
          <w:snapToGrid w:val="0"/>
          <w:color w:val="000000"/>
          <w:spacing w:val="-6"/>
          <w:kern w:val="0"/>
          <w:sz w:val="12"/>
          <w:szCs w:val="12"/>
          <w:lang w:val="en-US" w:eastAsia="en-US" w:bidi="ar-SA"/>
        </w:rPr>
        <w:t>Si los usuarios instalan, reparan o sustituyen componentes sin seguir las instrucciones de este manual, asumirán todas las responsabilidades derivadas.</w:t>
      </w:r>
    </w:p>
    <w:p w14:paraId="31A49502">
      <w:pPr>
        <w:pStyle w:val="2"/>
        <w:spacing w:before="221" w:line="221" w:lineRule="auto"/>
        <w:ind w:left="1"/>
        <w:rPr>
          <w:rFonts w:hint="default"/>
          <w:lang w:val="en-US"/>
        </w:rPr>
      </w:pPr>
      <w:r>
        <w:rPr>
          <w:rFonts w:ascii="Times New Roman" w:hAnsi="黑体" w:eastAsia="黑体" w:cs="黑体"/>
          <w:b/>
          <w:bCs/>
          <w:snapToGrid w:val="0"/>
          <w:color w:val="000000"/>
          <w:spacing w:val="6"/>
          <w:kern w:val="0"/>
          <w:sz w:val="12"/>
          <w:szCs w:val="12"/>
          <w:lang w:val="en-US" w:eastAsia="en-US" w:bidi="ar-SA"/>
        </w:rPr>
        <w:t>Guía de servicio al usuario</w:t>
      </w:r>
    </w:p>
    <w:p w14:paraId="24437C79">
      <w:pPr>
        <w:pStyle w:val="2"/>
        <w:spacing w:before="94" w:line="283" w:lineRule="auto"/>
        <w:ind w:right="52" w:firstLine="230"/>
        <w:rPr>
          <w:rFonts w:hint="default"/>
          <w:lang w:val="en-US"/>
        </w:rPr>
      </w:pPr>
      <w:r>
        <w:rPr>
          <w:rFonts w:ascii="Times New Roman" w:hAnsi="黑体" w:eastAsia="黑体" w:cs="黑体"/>
          <w:snapToGrid w:val="0"/>
          <w:color w:val="000000"/>
          <w:spacing w:val="5"/>
          <w:kern w:val="0"/>
          <w:sz w:val="12"/>
          <w:szCs w:val="12"/>
          <w:lang w:val="en-US" w:eastAsia="en-US" w:bidi="ar-SA"/>
        </w:rPr>
        <w:t>1. Antes de utilizar este producto, verifique atentamente la integridad de los accesorios, el certificado de calidad del producto y el informe de inspección de fábrica según la lista de fábrica del producto. Si detecta alguna deficiencia, contacte de inmediato con el vendedor o el fabricante.</w:t>
      </w:r>
    </w:p>
    <w:p w14:paraId="41FA56E1">
      <w:pPr>
        <w:pStyle w:val="2"/>
        <w:spacing w:before="102" w:line="283" w:lineRule="auto"/>
        <w:ind w:right="88" w:firstLine="230"/>
        <w:rPr>
          <w:rFonts w:hint="default"/>
          <w:lang w:val="en-US"/>
        </w:rPr>
      </w:pPr>
      <w:r>
        <w:rPr>
          <w:rFonts w:ascii="Times New Roman" w:hAnsi="黑体" w:eastAsia="黑体" w:cs="黑体"/>
          <w:snapToGrid w:val="0"/>
          <w:color w:val="000000"/>
          <w:spacing w:val="4"/>
          <w:kern w:val="0"/>
          <w:sz w:val="12"/>
          <w:szCs w:val="12"/>
          <w:lang w:val="en-US" w:eastAsia="en-US" w:bidi="ar-SA"/>
        </w:rPr>
        <w:t>2. Durante los doce meses siguientes a la fecha de venta, si la calidad del producto queda por debajo de las especificaciones técnicas por haber cumplido el usuario los requisitos de almacenamiento, transporte y uso, se ofrecerán servicios de reparación gratuitos presentando el certificado de garantía.</w:t>
      </w:r>
    </w:p>
    <w:p w14:paraId="22079B54">
      <w:pPr>
        <w:pStyle w:val="2"/>
        <w:spacing w:before="96" w:line="272" w:lineRule="auto"/>
        <w:ind w:right="113" w:firstLine="230"/>
        <w:rPr>
          <w:rFonts w:hint="default"/>
          <w:lang w:val="en-US"/>
        </w:rPr>
      </w:pPr>
      <w:r>
        <w:rPr>
          <w:rFonts w:ascii="Times New Roman" w:hAnsi="黑体" w:eastAsia="黑体" w:cs="黑体"/>
          <w:snapToGrid w:val="0"/>
          <w:color w:val="000000"/>
          <w:spacing w:val="4"/>
          <w:kern w:val="0"/>
          <w:sz w:val="12"/>
          <w:szCs w:val="12"/>
          <w:lang w:val="en-US" w:eastAsia="en-US" w:bidi="ar-SA"/>
        </w:rPr>
        <w:t>3. Para los daños causados por el incumplimiento de la normativa y los requisitos de operación, los fallos derivados de reparaciones realizadas por departamentos de servicio técnico no designados oficialmente, o los problemas de calidad del producto derivados de factores de fuerza mayor, nuestra empresa facturará los servicios de reparación.</w:t>
      </w:r>
    </w:p>
    <w:p w14:paraId="3931452A">
      <w:pPr>
        <w:pStyle w:val="2"/>
        <w:spacing w:before="82" w:line="213" w:lineRule="auto"/>
        <w:ind w:left="230"/>
        <w:rPr>
          <w:rFonts w:hint="default"/>
          <w:lang w:val="en-US"/>
        </w:rPr>
      </w:pPr>
      <w:r>
        <w:rPr>
          <w:rFonts w:ascii="Times New Roman" w:hAnsi="黑体" w:eastAsia="黑体" w:cs="黑体"/>
          <w:snapToGrid w:val="0"/>
          <w:color w:val="000000"/>
          <w:spacing w:val="5"/>
          <w:kern w:val="0"/>
          <w:sz w:val="12"/>
          <w:szCs w:val="12"/>
          <w:lang w:val="en-US" w:eastAsia="en-US" w:bidi="ar-SA"/>
        </w:rPr>
        <w:t>4. Cuando se vaya a reparar el producto, presente de forma proactiva la tarjeta de garantía del producto. La no presentación de la tarjeta de garantía supondrá el rechazo como comprobante.</w:t>
      </w:r>
    </w:p>
    <w:p w14:paraId="4DD09D4D">
      <w:pPr>
        <w:pStyle w:val="2"/>
        <w:spacing w:before="117" w:line="222" w:lineRule="auto"/>
        <w:rPr>
          <w:rFonts w:hint="default"/>
          <w:lang w:val="en-US"/>
        </w:rPr>
      </w:pPr>
      <w:r>
        <w:rPr>
          <w:rFonts w:ascii="Times New Roman" w:hAnsi="黑体" w:eastAsia="黑体" w:cs="黑体"/>
          <w:snapToGrid w:val="0"/>
          <w:color w:val="000000"/>
          <w:spacing w:val="2"/>
          <w:kern w:val="0"/>
          <w:sz w:val="12"/>
          <w:szCs w:val="12"/>
          <w:lang w:val="en-US" w:eastAsia="en-US" w:bidi="ar-SA"/>
        </w:rPr>
        <w:t>tarifa de mantenimiento.</w:t>
      </w:r>
    </w:p>
    <w:p w14:paraId="2AC39CA7">
      <w:pPr>
        <w:pStyle w:val="2"/>
        <w:spacing w:before="60" w:line="317" w:lineRule="auto"/>
        <w:ind w:right="110" w:firstLine="230"/>
        <w:rPr>
          <w:rFonts w:hint="default"/>
          <w:lang w:val="en-US"/>
        </w:rPr>
      </w:pPr>
      <w:r>
        <w:rPr>
          <w:rFonts w:ascii="Times New Roman" w:hAnsi="黑体" w:eastAsia="黑体" w:cs="黑体"/>
          <w:snapToGrid w:val="0"/>
          <w:color w:val="000000"/>
          <w:spacing w:val="4"/>
          <w:kern w:val="0"/>
          <w:sz w:val="12"/>
          <w:szCs w:val="12"/>
          <w:lang w:val="en-US" w:eastAsia="en-US" w:bidi="ar-SA"/>
        </w:rPr>
        <w:t>5. Tras el mantenimiento o la reparación del producto, presente este manual. El técnico de mantenimiento rellenará y firmará el "Registro del estado de mantenimiento y reparación" adjunto. Asimismo, firme el registro del técnico para confirmar los detalles del mantenimiento y aportar sus comentarios. Los usuarios institucionales deberán estampar el sello oficial.</w:t>
      </w:r>
    </w:p>
    <w:p w14:paraId="5453D656">
      <w:pPr>
        <w:pStyle w:val="2"/>
        <w:spacing w:before="102" w:line="313" w:lineRule="auto"/>
        <w:ind w:right="72" w:firstLine="230"/>
        <w:rPr>
          <w:rFonts w:hint="default"/>
          <w:lang w:val="en-US"/>
        </w:rPr>
      </w:pPr>
      <w:r>
        <w:rPr>
          <w:rFonts w:ascii="Times New Roman" w:hAnsi="黑体" w:eastAsia="黑体" w:cs="黑体"/>
          <w:snapToGrid w:val="0"/>
          <w:color w:val="000000"/>
          <w:spacing w:val="4"/>
          <w:kern w:val="0"/>
          <w:sz w:val="12"/>
          <w:szCs w:val="12"/>
          <w:lang w:val="en-US" w:eastAsia="en-US" w:bidi="ar-SA"/>
        </w:rPr>
        <w:t>6. Si tiene alguna pregunta o duda sobre los productos y servicios que ofrecemos, incluidos la tecnología del producto, la calidad, la instalación y el mantenimiento, la actitud del servicio o las políticas de precios, contáctenos con prontitud. Atenderemos sus comentarios de forma profesional.</w:t>
      </w:r>
    </w:p>
    <w:p w14:paraId="0F53BA46">
      <w:pPr>
        <w:spacing w:line="273" w:lineRule="auto"/>
        <w:rPr>
          <w:rFonts w:ascii="Arial"/>
          <w:sz w:val="21"/>
        </w:rPr>
      </w:pPr>
    </w:p>
    <w:p w14:paraId="724E814A">
      <w:pPr>
        <w:pStyle w:val="2"/>
        <w:spacing w:before="40" w:line="221" w:lineRule="auto"/>
        <w:ind w:right="20"/>
        <w:jc w:val="right"/>
        <w:rPr>
          <w:rFonts w:hint="default"/>
          <w:lang w:val="en-US"/>
        </w:rPr>
      </w:pPr>
      <w:r>
        <w:rPr>
          <w:rFonts w:ascii="Times New Roman" w:hAnsi="黑体" w:eastAsia="黑体" w:cs="黑体"/>
          <w:snapToGrid w:val="0"/>
          <w:color w:val="000000"/>
          <w:spacing w:val="5"/>
          <w:kern w:val="0"/>
          <w:sz w:val="12"/>
          <w:szCs w:val="12"/>
          <w:lang w:val="en-US" w:eastAsia="en-US" w:bidi="ar-SA"/>
        </w:rPr>
        <w:t>Declaración: el controlador de alarma de gas se denomina 'controlador' en este manual.</w:t>
      </w:r>
    </w:p>
    <w:p w14:paraId="7480FD81">
      <w:pPr>
        <w:spacing w:line="221" w:lineRule="auto"/>
        <w:sectPr>
          <w:pgSz w:w="6030" w:h="8300"/>
          <w:pgMar w:top="705" w:right="683" w:bottom="0" w:left="719" w:header="0" w:footer="0" w:gutter="0"/>
          <w:cols w:space="720" w:num="1"/>
        </w:sectPr>
      </w:pPr>
    </w:p>
    <w:p w14:paraId="1C32393B">
      <w:pPr>
        <w:spacing w:line="261" w:lineRule="auto"/>
        <w:rPr>
          <w:rFonts w:ascii="Arial"/>
          <w:sz w:val="21"/>
        </w:rPr>
      </w:pPr>
    </w:p>
    <w:p w14:paraId="3117A7C1">
      <w:pPr>
        <w:spacing w:line="262" w:lineRule="auto"/>
        <w:rPr>
          <w:rFonts w:ascii="Arial"/>
          <w:sz w:val="21"/>
        </w:rPr>
      </w:pPr>
    </w:p>
    <w:p w14:paraId="1E6E5CBD">
      <w:pPr>
        <w:spacing w:line="262" w:lineRule="auto"/>
        <w:rPr>
          <w:rFonts w:ascii="Arial"/>
          <w:sz w:val="21"/>
        </w:rPr>
      </w:pPr>
    </w:p>
    <w:p w14:paraId="2DCE2858">
      <w:pPr>
        <w:spacing w:line="262" w:lineRule="auto"/>
        <w:rPr>
          <w:rFonts w:ascii="Arial"/>
          <w:sz w:val="21"/>
        </w:rPr>
      </w:pPr>
    </w:p>
    <w:p w14:paraId="2DB7738C">
      <w:pPr>
        <w:spacing w:line="262" w:lineRule="auto"/>
        <w:rPr>
          <w:rFonts w:ascii="Arial"/>
          <w:sz w:val="21"/>
        </w:rPr>
      </w:pPr>
    </w:p>
    <w:sdt>
      <w:sdtPr>
        <w:rPr>
          <w:rFonts w:ascii="黑体" w:hAnsi="黑体" w:eastAsia="黑体" w:cs="黑体"/>
          <w:sz w:val="12"/>
          <w:szCs w:val="12"/>
        </w:rPr>
        <w:id w:val="26495817"/>
        <w:docPartObj>
          <w:docPartGallery w:val="Table of Contents"/>
          <w:docPartUnique/>
        </w:docPartObj>
      </w:sdtPr>
      <w:sdtEndPr>
        <w:rPr>
          <w:rFonts w:ascii="Times New Roman" w:hAnsi="Times New Roman" w:eastAsia="Times New Roman" w:cs="Times New Roman"/>
          <w:sz w:val="12"/>
          <w:szCs w:val="12"/>
        </w:rPr>
      </w:sdtEndPr>
      <w:sdtContent>
        <w:p w14:paraId="365CABC0">
          <w:pPr>
            <w:pStyle w:val="2"/>
            <w:spacing w:before="39" w:line="222" w:lineRule="auto"/>
            <w:ind w:left="1911"/>
            <w:rPr>
              <w:rFonts w:hint="default"/>
              <w:lang w:val="en-US"/>
            </w:rPr>
          </w:pPr>
          <w:r>
            <w:rPr>
              <w:rFonts w:ascii="Times New Roman" w:hAnsi="黑体" w:eastAsia="黑体" w:cs="黑体"/>
              <w:b/>
              <w:bCs/>
              <w:snapToGrid w:val="0"/>
              <w:color w:val="000000"/>
              <w:spacing w:val="-12"/>
              <w:kern w:val="0"/>
              <w:sz w:val="12"/>
              <w:szCs w:val="12"/>
              <w:lang w:val="en-US" w:eastAsia="en-US" w:bidi="ar-SA"/>
            </w:rPr>
            <w:t>catálogo</w:t>
          </w:r>
        </w:p>
        <w:p w14:paraId="3BE77286">
          <w:pPr>
            <w:spacing w:line="262" w:lineRule="auto"/>
            <w:rPr>
              <w:rFonts w:ascii="Arial"/>
              <w:sz w:val="21"/>
            </w:rPr>
          </w:pPr>
        </w:p>
        <w:p w14:paraId="3F940947">
          <w:pPr>
            <w:spacing w:line="263" w:lineRule="auto"/>
            <w:rPr>
              <w:rFonts w:ascii="Arial"/>
              <w:sz w:val="21"/>
            </w:rPr>
          </w:pPr>
        </w:p>
        <w:p w14:paraId="26B52CAC">
          <w:pPr>
            <w:spacing w:line="263" w:lineRule="auto"/>
            <w:rPr>
              <w:rFonts w:ascii="Arial"/>
              <w:sz w:val="21"/>
            </w:rPr>
          </w:pPr>
        </w:p>
        <w:p w14:paraId="05686978">
          <w:pPr>
            <w:spacing w:line="263" w:lineRule="auto"/>
            <w:rPr>
              <w:rFonts w:ascii="Arial"/>
              <w:sz w:val="21"/>
            </w:rPr>
          </w:pPr>
        </w:p>
        <w:p w14:paraId="1560E331">
          <w:pPr>
            <w:pStyle w:val="2"/>
            <w:tabs>
              <w:tab w:val="right" w:leader="dot" w:pos="4385"/>
            </w:tabs>
            <w:spacing w:before="39"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
              <w:kern w:val="0"/>
              <w:sz w:val="12"/>
              <w:szCs w:val="12"/>
              <w:lang w:val="en-US" w:eastAsia="en-US" w:bidi="ar-SA"/>
            </w:rPr>
            <w:t>I. Presentación general 01 01</w:t>
          </w:r>
          <w:r>
            <w:rPr>
              <w:rFonts w:ascii="Times New Roman" w:hAnsi="Times New Roman" w:eastAsia="Times New Roman" w:cs="Times New Roman"/>
              <w:snapToGrid w:val="0"/>
              <w:color w:val="000000"/>
              <w:spacing w:val="-2"/>
              <w:kern w:val="0"/>
              <w:sz w:val="12"/>
              <w:szCs w:val="12"/>
              <w:lang w:val="en-US" w:eastAsia="en-US" w:bidi="ar-SA"/>
            </w:rPr>
            <w:tab/>
          </w:r>
          <w:r>
            <w:rPr>
              <w:rFonts w:ascii="Times New Roman" w:hAnsi="Times New Roman" w:eastAsia="Times New Roman" w:cs="Times New Roman"/>
              <w:snapToGrid w:val="0"/>
              <w:color w:val="000000"/>
              <w:spacing w:val="-2"/>
              <w:kern w:val="0"/>
              <w:sz w:val="12"/>
              <w:szCs w:val="12"/>
              <w:lang w:val="en-US" w:eastAsia="en-US" w:bidi="ar-SA"/>
            </w:rPr>
            <w:t xml:space="preserve"/>
          </w:r>
        </w:p>
        <w:p w14:paraId="5E959D5B">
          <w:pPr>
            <w:pStyle w:val="2"/>
            <w:tabs>
              <w:tab w:val="right" w:leader="dot" w:pos="4395"/>
            </w:tabs>
            <w:spacing w:before="217"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II. Principales parámetros técnicos 01 01</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w:r>
        </w:p>
        <w:p w14:paraId="6896EF57">
          <w:pPr>
            <w:pStyle w:val="2"/>
            <w:tabs>
              <w:tab w:val="right" w:leader="dot" w:pos="4395"/>
            </w:tabs>
            <w:spacing w:before="204"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III. Composición del sistema 02 02</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w:r>
        </w:p>
        <w:p w14:paraId="6E31C119">
          <w:pPr>
            <w:pStyle w:val="2"/>
            <w:tabs>
              <w:tab w:val="right" w:leader="dot" w:pos="4395"/>
            </w:tabs>
            <w:spacing w:before="216"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IV. Arquitectura del sistema e instalación 02 02</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w:r>
        </w:p>
        <w:p w14:paraId="0EE4B770">
          <w:pPr>
            <w:pStyle w:val="2"/>
            <w:tabs>
              <w:tab w:val="right" w:leader="dot" w:pos="4315"/>
            </w:tabs>
            <w:spacing w:before="197"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
              <w:kern w:val="0"/>
              <w:sz w:val="12"/>
              <w:szCs w:val="12"/>
              <w:lang w:val="en-US" w:eastAsia="en-US" w:bidi="ar-SA"/>
            </w:rPr>
            <w:t>V. Instrucciones de funcionamiento de las funciones del sistema 08 08</w:t>
          </w:r>
          <w:r>
            <w:rPr>
              <w:rFonts w:ascii="Times New Roman" w:hAnsi="Times New Roman" w:eastAsia="Times New Roman" w:cs="Times New Roman"/>
              <w:snapToGrid w:val="0"/>
              <w:color w:val="000000"/>
              <w:spacing w:val="-2"/>
              <w:kern w:val="0"/>
              <w:sz w:val="12"/>
              <w:szCs w:val="12"/>
              <w:lang w:val="en-US" w:eastAsia="en-US" w:bidi="ar-SA"/>
            </w:rPr>
            <w:tab/>
          </w:r>
          <w:r>
            <w:rPr>
              <w:rFonts w:ascii="Times New Roman" w:hAnsi="Times New Roman" w:eastAsia="Times New Roman" w:cs="Times New Roman"/>
              <w:snapToGrid w:val="0"/>
              <w:color w:val="000000"/>
              <w:spacing w:val="-2"/>
              <w:kern w:val="0"/>
              <w:sz w:val="12"/>
              <w:szCs w:val="12"/>
              <w:lang w:val="en-US" w:eastAsia="en-US" w:bidi="ar-SA"/>
            </w:rPr>
            <w:t xml:space="preserve"/>
          </w:r>
        </w:p>
        <w:p w14:paraId="53F39B68">
          <w:pPr>
            <w:pStyle w:val="2"/>
            <w:tabs>
              <w:tab w:val="right" w:leader="dot" w:pos="4385"/>
            </w:tabs>
            <w:spacing w:before="226"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VI. Fallos comunes y soluciones 15 15</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w:r>
        </w:p>
        <w:p w14:paraId="6173E6EA">
          <w:pPr>
            <w:pStyle w:val="2"/>
            <w:tabs>
              <w:tab w:val="right" w:leader="dot" w:pos="4385"/>
            </w:tabs>
            <w:spacing w:before="197"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VII. Garantía y mantenimiento 16 16</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w:r>
        </w:p>
        <w:p w14:paraId="0D037373">
          <w:pPr>
            <w:pStyle w:val="2"/>
            <w:tabs>
              <w:tab w:val="right" w:leader="dot" w:pos="4385"/>
            </w:tabs>
            <w:spacing w:before="225"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8. Almacenamiento 16 16</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w:r>
        </w:p>
        <w:p w14:paraId="4471B6D9">
          <w:pPr>
            <w:pStyle w:val="2"/>
            <w:tabs>
              <w:tab w:val="right" w:leader="dot" w:pos="4385"/>
            </w:tabs>
            <w:spacing w:before="197" w:line="223" w:lineRule="auto"/>
            <w:rPr>
              <w:rFonts w:ascii="Times New Roman" w:hAnsi="Times New Roman" w:eastAsia="Times New Roman" w:cs="Times New Roman"/>
            </w:rPr>
          </w:pPr>
          <w:r>
            <w:rPr>
              <w:rFonts w:ascii="Times New Roman" w:hAnsi="Times New Roman" w:eastAsia="Times New Roman" w:cs="Times New Roman"/>
              <w:snapToGrid w:val="0"/>
              <w:color w:val="000000"/>
              <w:kern w:val="0"/>
              <w:sz w:val="12"/>
              <w:szCs w:val="12"/>
              <w:lang w:val="en-US" w:eastAsia="en-US" w:bidi="ar-SA"/>
            </w:rPr>
            <w:t>IX. Accesorios 16 16</w:t>
          </w:r>
          <w:r>
            <w:rPr>
              <w:rFonts w:ascii="Times New Roman" w:hAnsi="Times New Roman" w:eastAsia="Times New Roman" w:cs="Times New Roman"/>
              <w:snapToGrid w:val="0"/>
              <w:color w:val="000000"/>
              <w:kern w:val="0"/>
              <w:sz w:val="12"/>
              <w:szCs w:val="12"/>
              <w:lang w:val="en-US" w:eastAsia="en-US" w:bidi="ar-SA"/>
            </w:rPr>
            <w:tab/>
          </w:r>
          <w:r>
            <w:rPr>
              <w:rFonts w:ascii="Times New Roman" w:hAnsi="Times New Roman" w:eastAsia="Times New Roman" w:cs="Times New Roman"/>
              <w:snapToGrid w:val="0"/>
              <w:color w:val="000000"/>
              <w:kern w:val="0"/>
              <w:sz w:val="12"/>
              <w:szCs w:val="12"/>
              <w:lang w:val="en-US" w:eastAsia="en-US" w:bidi="ar-SA"/>
            </w:rPr>
            <w:t xml:space="preserve"/>
          </w:r>
        </w:p>
      </w:sdtContent>
    </w:sdt>
    <w:p w14:paraId="0FD71815">
      <w:pPr>
        <w:spacing w:line="223" w:lineRule="auto"/>
        <w:rPr>
          <w:rFonts w:ascii="Times New Roman" w:hAnsi="Times New Roman" w:eastAsia="Times New Roman" w:cs="Times New Roman"/>
        </w:rPr>
        <w:sectPr>
          <w:pgSz w:w="6030" w:h="8300"/>
          <w:pgMar w:top="705" w:right="844" w:bottom="0" w:left="789" w:header="0" w:footer="0" w:gutter="0"/>
          <w:cols w:space="720" w:num="1"/>
        </w:sectPr>
      </w:pPr>
    </w:p>
    <w:p w14:paraId="079DCA84">
      <w:pPr>
        <w:spacing w:before="24" w:line="230" w:lineRule="exact"/>
        <w:ind w:firstLine="20"/>
        <w:rPr>
          <w:rFonts w:hint="eastAsia" w:eastAsia="宋体"/>
          <w:lang w:val="en-US" w:eastAsia="zh-CN"/>
        </w:rPr>
      </w:pPr>
      <w:r>
        <w:rPr>
          <w:rFonts w:hint="default"/>
          <w:lang w:val="en-US"/>
        </w:rPr>
        <w:t xml:space="preserve"> </w:t>
      </w:r>
    </w:p>
    <w:p w14:paraId="008C737B">
      <w:pPr>
        <w:pStyle w:val="2"/>
        <w:spacing w:before="144" w:line="348" w:lineRule="auto"/>
        <w:ind w:firstLine="230"/>
        <w:rPr>
          <w:rFonts w:hint="default"/>
          <w:lang w:val="en-US"/>
        </w:rPr>
      </w:pPr>
      <w:r>
        <w:rPr>
          <w:rFonts w:ascii="Times New Roman" w:hAnsi="黑体" w:eastAsia="黑体" w:cs="黑体"/>
          <w:snapToGrid w:val="0"/>
          <w:color w:val="000000"/>
          <w:spacing w:val="4"/>
          <w:kern w:val="0"/>
          <w:sz w:val="12"/>
          <w:szCs w:val="12"/>
          <w:lang w:val="en-US" w:eastAsia="en-US" w:bidi="ar-SA"/>
        </w:rPr>
        <w:t>El controlador de alarma de gas GDB9/GDB10 (en adelante, el controlador) es un producto desarrollado por nuestra empresa, capaz de procesar simultáneamente múltiples canales de señal de 4~20 mA/RS485. Ofrece una excelente estabilidad, alta precisión y una configuración inteligente de parámetros. Gracias a sus abundantes puertos de control externos, los usuarios pueden seleccionar libremente los tipos de detector y los puertos de conexión, lo que permite crear sistemas de monitorización y alarma in situ mediante una instalación y un cableado sencillos.</w:t>
      </w:r>
    </w:p>
    <w:p w14:paraId="3F56A89E">
      <w:pPr>
        <w:pStyle w:val="2"/>
        <w:spacing w:line="328" w:lineRule="auto"/>
        <w:ind w:right="54" w:firstLine="230"/>
        <w:jc w:val="both"/>
        <w:rPr>
          <w:rFonts w:hint="default"/>
          <w:lang w:val="en-US"/>
        </w:rPr>
      </w:pPr>
      <w:r>
        <w:rPr>
          <w:rFonts w:ascii="Times New Roman" w:hAnsi="黑体" w:eastAsia="黑体" w:cs="黑体"/>
          <w:snapToGrid w:val="0"/>
          <w:color w:val="000000"/>
          <w:spacing w:val="9"/>
          <w:kern w:val="0"/>
          <w:sz w:val="12"/>
          <w:szCs w:val="12"/>
          <w:lang w:val="en-US" w:eastAsia="en-US" w:bidi="ar-SA"/>
        </w:rPr>
        <w:t>El controlador se utiliza principalmente para la monitorización de gases inflamables, mostrando indicadores numéricos del gas que se va a medir. Cuando la concentración de un gas específico medido en el sitio no cumple los estándares preestablecidos, el sistema activa automáticamente una serie de acciones de alarma, como alarmas sonoras, ventilación de extracción o disparo (según la configuración del usuario).</w:t>
      </w:r>
    </w:p>
    <w:p w14:paraId="05BFBB21">
      <w:pPr>
        <w:pStyle w:val="2"/>
        <w:spacing w:before="1" w:line="356" w:lineRule="auto"/>
        <w:ind w:right="36" w:firstLine="230"/>
        <w:jc w:val="both"/>
        <w:rPr>
          <w:rFonts w:hint="default"/>
          <w:lang w:val="en-US"/>
        </w:rPr>
      </w:pPr>
      <w:r>
        <w:rPr>
          <w:rFonts w:ascii="Times New Roman" w:hAnsi="黑体" w:eastAsia="黑体" w:cs="黑体"/>
          <w:snapToGrid w:val="0"/>
          <w:color w:val="000000"/>
          <w:spacing w:val="4"/>
          <w:kern w:val="0"/>
          <w:sz w:val="12"/>
          <w:szCs w:val="12"/>
          <w:lang w:val="en-US" w:eastAsia="en-US" w:bidi="ar-SA"/>
        </w:rPr>
        <w:t>Años de aplicación en el mercado han demostrado que este producto se caracteriza por un diseño fácil de usar, un rendimiento sobresaliente, un funcionamiento estable y fiable, una instalación y un mantenimiento cómodos, así como amplias capacidades de medición de gases. Cumple plenamente los requisitos de la monitorización de seguridad industrial en cuanto a alta fiabilidad del equipo, estabilidad operativa y diversas opciones de medición de gases.</w:t>
      </w:r>
    </w:p>
    <w:p w14:paraId="1C1B3EC8">
      <w:pPr>
        <w:pStyle w:val="2"/>
        <w:spacing w:line="329" w:lineRule="auto"/>
        <w:ind w:right="55" w:firstLine="230"/>
        <w:rPr>
          <w:rFonts w:hint="default"/>
          <w:lang w:val="en-US"/>
        </w:rPr>
      </w:pPr>
      <w:r>
        <w:rPr>
          <w:rFonts w:ascii="Times New Roman" w:hAnsi="黑体" w:eastAsia="黑体" w:cs="黑体"/>
          <w:snapToGrid w:val="0"/>
          <w:color w:val="000000"/>
          <w:spacing w:val="4"/>
          <w:kern w:val="0"/>
          <w:sz w:val="12"/>
          <w:szCs w:val="12"/>
          <w:lang w:val="en-US" w:eastAsia="en-US" w:bidi="ar-SA"/>
        </w:rPr>
        <w:t>Los controladores de alarma de gas se utilizan ampliamente en sectores como el militar, la minería, la sanidad, la petroquímica, la metalurgia, la ganadería, el refino y el procesamiento químico, el transporte y la distribución de gas, el control de procesos de producción, la protección del medio ambiente y el tratamiento de agua.</w:t>
      </w:r>
    </w:p>
    <w:p w14:paraId="37D3F62F">
      <w:pPr>
        <w:pStyle w:val="2"/>
        <w:spacing w:line="220"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El diseño, la fabricación y la verificación de este producto cumplen con las siguientes normas nacionales:</w:t>
      </w:r>
    </w:p>
    <w:p w14:paraId="3F206033">
      <w:pPr>
        <w:pStyle w:val="2"/>
        <w:spacing w:before="98" w:line="222" w:lineRule="auto"/>
        <w:rPr>
          <w:rFonts w:hint="default"/>
          <w:lang w:val="en-US"/>
        </w:rPr>
      </w:pPr>
      <w:r>
        <w:rPr>
          <w:rFonts w:ascii="Times New Roman" w:hAnsi="黑体" w:eastAsia="黑体" w:cs="黑体"/>
          <w:snapToGrid w:val="0"/>
          <w:color w:val="000000"/>
          <w:spacing w:val="2"/>
          <w:kern w:val="0"/>
          <w:sz w:val="12"/>
          <w:szCs w:val="12"/>
          <w:lang w:val="en-US" w:eastAsia="en-US" w:bidi="ar-SA"/>
        </w:rPr>
        <w:t>GB/T191-2008 Marcado gráfico para el embalaje, el almacenamiento y el transporte</w:t>
      </w:r>
    </w:p>
    <w:p w14:paraId="4457C3B3">
      <w:pPr>
        <w:pStyle w:val="2"/>
        <w:spacing w:before="75" w:line="221" w:lineRule="auto"/>
        <w:rPr>
          <w:rFonts w:hint="default"/>
          <w:lang w:val="en-US"/>
        </w:rPr>
      </w:pPr>
      <w:r>
        <w:rPr>
          <w:rFonts w:ascii="Times New Roman" w:hAnsi="黑体" w:eastAsia="黑体" w:cs="黑体"/>
          <w:snapToGrid w:val="0"/>
          <w:color w:val="000000"/>
          <w:spacing w:val="3"/>
          <w:kern w:val="0"/>
          <w:sz w:val="12"/>
          <w:szCs w:val="12"/>
          <w:lang w:val="en-US" w:eastAsia="en-US" w:bidi="ar-SA"/>
        </w:rPr>
        <w:t>GB9969.1-1998 Principios generales para los manuales de instrucciones de productos industriales</w:t>
      </w:r>
    </w:p>
    <w:p w14:paraId="1742B815">
      <w:pPr>
        <w:pStyle w:val="2"/>
        <w:spacing w:before="67" w:line="222" w:lineRule="auto"/>
        <w:rPr>
          <w:rFonts w:hint="default"/>
          <w:lang w:val="en-US"/>
        </w:rPr>
      </w:pPr>
      <w:r>
        <w:rPr>
          <w:rFonts w:ascii="Times New Roman" w:hAnsi="黑体" w:eastAsia="黑体" w:cs="黑体"/>
          <w:snapToGrid w:val="0"/>
          <w:color w:val="000000"/>
          <w:spacing w:val="5"/>
          <w:kern w:val="0"/>
          <w:sz w:val="12"/>
          <w:szCs w:val="12"/>
          <w:lang w:val="en-US" w:eastAsia="en-US" w:bidi="ar-SA"/>
        </w:rPr>
        <w:t>GB12358-2024 Requisitos técnicos generales para los instrumentos de detección y alarma de gas en entornos de trabajo</w:t>
      </w:r>
    </w:p>
    <w:p w14:paraId="09C5609A">
      <w:pPr>
        <w:pStyle w:val="2"/>
        <w:spacing w:before="186" w:line="222" w:lineRule="auto"/>
        <w:ind w:left="2"/>
        <w:outlineLvl w:val="0"/>
        <w:rPr>
          <w:rFonts w:hint="default"/>
          <w:sz w:val="15"/>
          <w:szCs w:val="15"/>
          <w:lang w:val="en-US"/>
        </w:rPr>
      </w:pPr>
      <w:r>
        <w:rPr>
          <w:rFonts w:ascii="Times New Roman"/>
        </w:rPr>
        <w:drawing>
          <wp:anchor distT="0" distB="0" distL="0" distR="0" simplePos="0" relativeHeight="251663360" behindDoc="1" locked="0" layoutInCell="1" allowOverlap="1">
            <wp:simplePos x="0" y="0"/>
            <wp:positionH relativeFrom="column">
              <wp:posOffset>12700</wp:posOffset>
            </wp:positionH>
            <wp:positionV relativeFrom="paragraph">
              <wp:posOffset>76835</wp:posOffset>
            </wp:positionV>
            <wp:extent cx="933450" cy="146050"/>
            <wp:effectExtent l="0" t="0" r="6350" b="6350"/>
            <wp:wrapNone/>
            <wp:docPr id="1" name="IM 8"/>
            <wp:cNvGraphicFramePr/>
            <a:graphic xmlns:a="http://schemas.openxmlformats.org/drawingml/2006/main">
              <a:graphicData uri="http://schemas.openxmlformats.org/drawingml/2006/picture">
                <pic:pic xmlns:pic="http://schemas.openxmlformats.org/drawingml/2006/picture">
                  <pic:nvPicPr>
                    <pic:cNvPr id="1" name="IM 8"/>
                    <pic:cNvPicPr/>
                  </pic:nvPicPr>
                  <pic:blipFill>
                    <a:blip r:embed="rId24"/>
                    <a:stretch>
                      <a:fillRect/>
                    </a:stretch>
                  </pic:blipFill>
                  <pic:spPr>
                    <a:xfrm>
                      <a:off x="0" y="0"/>
                      <a:ext cx="933445" cy="146045"/>
                    </a:xfrm>
                    <a:prstGeom prst="rect">
                      <a:avLst/>
                    </a:prstGeom>
                  </pic:spPr>
                </pic:pic>
              </a:graphicData>
            </a:graphic>
          </wp:anchor>
        </w:drawing>
      </w:r>
      <w:bookmarkStart w:id="0" w:name="bookmark2"/>
      <w:bookmarkEnd w:id="0"/>
      <w:r>
        <w:rPr>
          <w:rFonts w:ascii="Times New Roman" w:hAnsi="黑体" w:eastAsia="黑体" w:cs="黑体"/>
          <w:b/>
          <w:bCs/>
          <w:snapToGrid w:val="0"/>
          <w:color w:val="FFFFFF"/>
          <w:spacing w:val="-3"/>
          <w:kern w:val="0"/>
          <w:sz w:val="15"/>
          <w:szCs w:val="15"/>
          <w:lang w:val="en-US" w:eastAsia="en-US" w:bidi="ar-SA"/>
        </w:rPr>
        <w:t>II. Principales parámetros técnicos</w:t>
      </w:r>
    </w:p>
    <w:p w14:paraId="6081879D">
      <w:pPr>
        <w:pStyle w:val="2"/>
        <w:spacing w:before="159"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Método de instalación: montaje en pared</w:t>
      </w:r>
    </w:p>
    <w:p w14:paraId="18D136C2">
      <w:pPr>
        <w:pStyle w:val="2"/>
        <w:spacing w:before="86"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Método de indicación: pantalla LCD a color, alarma sonora y luminosa</w:t>
      </w:r>
    </w:p>
    <w:p w14:paraId="7A9F977F">
      <w:pPr>
        <w:pStyle w:val="2"/>
        <w:spacing w:before="77" w:line="222" w:lineRule="auto"/>
        <w:rPr>
          <w:rFonts w:hint="default"/>
          <w:lang w:val="en-US"/>
        </w:rPr>
      </w:pPr>
      <w:r>
        <w:rPr>
          <w:rFonts w:ascii="Times New Roman" w:hAnsi="黑体" w:eastAsia="黑体" w:cs="黑体"/>
          <w:snapToGrid w:val="0"/>
          <w:color w:val="000000"/>
          <w:spacing w:val="6"/>
          <w:kern w:val="0"/>
          <w:sz w:val="12"/>
          <w:szCs w:val="12"/>
          <w:lang w:val="en-US" w:eastAsia="en-US" w:bidi="ar-SA"/>
        </w:rPr>
        <w:t>Temperatura del entorno de trabajo: -10℃~+50℃</w:t>
      </w:r>
    </w:p>
    <w:p w14:paraId="1033C7D1">
      <w:pPr>
        <w:pStyle w:val="2"/>
        <w:spacing w:before="96" w:line="222" w:lineRule="auto"/>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Humedad del entorno de trabajo: (20～93)%RH</w:t>
      </w:r>
    </w:p>
    <w:p w14:paraId="125CB815">
      <w:pPr>
        <w:pStyle w:val="2"/>
        <w:spacing w:before="85" w:line="221"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Alimentación eléctrica principal: AC220V±15%,50Hz±1% (fusible de la alimentación principal 3A)</w:t>
      </w:r>
    </w:p>
    <w:p w14:paraId="47EF0343">
      <w:pPr>
        <w:pStyle w:val="2"/>
        <w:spacing w:before="87" w:line="222" w:lineRule="auto"/>
        <w:rPr>
          <w:rFonts w:hint="default" w:ascii="宋体" w:hAnsi="宋体" w:eastAsia="宋体" w:cs="宋体"/>
          <w:lang w:val="en-US"/>
        </w:rPr>
      </w:pPr>
      <w:r>
        <w:rPr>
          <w:rFonts w:ascii="Times New Roman" w:hAnsi="宋体" w:eastAsia="宋体" w:cs="宋体"/>
          <w:snapToGrid w:val="0"/>
          <w:color w:val="000000"/>
          <w:spacing w:val="6"/>
          <w:kern w:val="0"/>
          <w:sz w:val="12"/>
          <w:szCs w:val="12"/>
          <w:lang w:val="en-US" w:eastAsia="en-US" w:bidi="ar-SA"/>
        </w:rPr>
        <w:t>Potencia: ≤10W</w:t>
      </w:r>
    </w:p>
    <w:p w14:paraId="50AD00BE">
      <w:pPr>
        <w:pStyle w:val="2"/>
        <w:spacing w:before="86" w:line="222"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Tensión de alimentación del detector: DC24V (1±15%)</w:t>
      </w:r>
    </w:p>
    <w:p w14:paraId="546DCD57">
      <w:pPr>
        <w:pStyle w:val="2"/>
        <w:spacing w:before="75" w:line="221"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Punto de consigna de alarma de subtensión de la alimentación de reserva: DC21V±1V</w:t>
      </w:r>
    </w:p>
    <w:p w14:paraId="6913A209">
      <w:pPr>
        <w:pStyle w:val="2"/>
        <w:spacing w:before="96" w:line="219"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Requisitos del cable de conexión entre el detector y la unidad maestra: GDB9: ≥RVVP3×1.5mm²</w:t>
      </w:r>
    </w:p>
    <w:p w14:paraId="1A8C10DE">
      <w:pPr>
        <w:pStyle w:val="2"/>
        <w:spacing w:before="114" w:line="385" w:lineRule="auto"/>
        <w:ind w:right="1729" w:firstLine="1550"/>
        <w:rPr>
          <w:rFonts w:hint="default" w:ascii="宋体" w:hAnsi="宋体" w:eastAsia="宋体" w:cs="宋体"/>
          <w:lang w:val="en-US"/>
        </w:rPr>
      </w:pPr>
      <w:r>
        <w:rPr>
          <w:rFonts w:ascii="Times New Roman" w:hAnsi="宋体" w:eastAsia="宋体" w:cs="宋体"/>
          <w:snapToGrid w:val="0"/>
          <w:color w:val="000000"/>
          <w:spacing w:val="6"/>
          <w:kern w:val="0"/>
          <w:sz w:val="12"/>
          <w:szCs w:val="12"/>
          <w:lang w:val="en-US" w:eastAsia="en-US" w:bidi="ar-SA"/>
        </w:rPr>
        <w:t>GDB10: ≥RVVP4×1.5mm² Distancia de comunicación entre el detector y el equipo maestro: ≤1000m</w:t>
      </w:r>
    </w:p>
    <w:p w14:paraId="1BA70356">
      <w:pPr>
        <w:spacing w:line="385" w:lineRule="auto"/>
        <w:rPr>
          <w:rFonts w:ascii="宋体" w:hAnsi="宋体" w:eastAsia="宋体" w:cs="宋体"/>
        </w:rPr>
        <w:sectPr>
          <w:footerReference r:id="rId5" w:type="default"/>
          <w:pgSz w:w="6030" w:h="8300"/>
          <w:pgMar w:top="705" w:right="674" w:bottom="563" w:left="719" w:header="0" w:footer="455" w:gutter="0"/>
          <w:cols w:space="720" w:num="1"/>
        </w:sectPr>
      </w:pPr>
    </w:p>
    <w:p w14:paraId="5D64DA60">
      <w:pPr>
        <w:pStyle w:val="2"/>
        <w:spacing w:before="29" w:line="222" w:lineRule="auto"/>
        <w:ind w:left="29"/>
        <w:rPr>
          <w:rFonts w:hint="default"/>
          <w:lang w:val="en-US"/>
        </w:rPr>
      </w:pPr>
      <w:r>
        <w:rPr>
          <w:rFonts w:ascii="Times New Roman" w:hAnsi="黑体" w:eastAsia="黑体" w:cs="黑体"/>
          <w:snapToGrid w:val="0"/>
          <w:color w:val="000000"/>
          <w:spacing w:val="1"/>
          <w:kern w:val="0"/>
          <w:sz w:val="12"/>
          <w:szCs w:val="12"/>
          <w:lang w:val="en-US" w:eastAsia="en-US" w:bidi="ar-SA"/>
        </w:rPr>
        <w:t>Interfaz del detector:</w:t>
      </w:r>
    </w:p>
    <w:p w14:paraId="2CAEDADD">
      <w:pPr>
        <w:pStyle w:val="2"/>
        <w:spacing w:before="69" w:line="213" w:lineRule="auto"/>
        <w:jc w:val="right"/>
        <w:rPr>
          <w:rFonts w:hint="default"/>
          <w:lang w:val="en-US"/>
        </w:rPr>
      </w:pPr>
      <w:r>
        <w:rPr>
          <w:rFonts w:ascii="Times New Roman" w:hAnsi="黑体" w:eastAsia="黑体" w:cs="黑体"/>
          <w:snapToGrid w:val="0"/>
          <w:color w:val="000000"/>
          <w:spacing w:val="9"/>
          <w:kern w:val="0"/>
          <w:sz w:val="12"/>
          <w:szCs w:val="12"/>
          <w:lang w:val="en-US" w:eastAsia="en-US" w:bidi="ar-SA"/>
        </w:rPr>
        <w:t>GDB9: interfaz de línea de tres puntos, capaz de recibir detectores de gas con señales de salida de corriente de (4~20) mA</w:t>
      </w:r>
    </w:p>
    <w:p w14:paraId="2D41FC6D">
      <w:pPr>
        <w:pStyle w:val="2"/>
        <w:spacing w:before="91" w:line="213" w:lineRule="auto"/>
        <w:ind w:left="509"/>
        <w:rPr>
          <w:rFonts w:hint="default"/>
          <w:lang w:val="en-US"/>
        </w:rPr>
      </w:pPr>
      <w:r>
        <w:rPr>
          <w:rFonts w:ascii="Times New Roman" w:hAnsi="黑体" w:eastAsia="黑体" w:cs="黑体"/>
          <w:snapToGrid w:val="0"/>
          <w:color w:val="000000"/>
          <w:spacing w:val="3"/>
          <w:kern w:val="0"/>
          <w:sz w:val="12"/>
          <w:szCs w:val="12"/>
          <w:lang w:val="en-US" w:eastAsia="en-US" w:bidi="ar-SA"/>
        </w:rPr>
        <w:t>GDB10: interfaz de cuatro buses, capaz de recibir detectores de gas con señales de salida RS485</w:t>
      </w:r>
    </w:p>
    <w:p w14:paraId="74BF7AFC">
      <w:pPr>
        <w:pStyle w:val="2"/>
        <w:spacing w:before="97" w:line="351" w:lineRule="auto"/>
        <w:ind w:left="29" w:right="1917" w:firstLine="479"/>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(El número exacto de detectores que se deben conectar depende de los requisitos reales.) Dimensiones del producto: L435mm × W300mm × H118mm (El número exacto de detectores que se deben conectar depende de los requisitos reales.) Dimensiones del producto: L435mm × W300mm × H118mm</w:t>
      </w:r>
    </w:p>
    <w:p w14:paraId="51DD283D">
      <w:pPr>
        <w:pStyle w:val="2"/>
        <w:spacing w:line="216" w:lineRule="auto"/>
        <w:ind w:left="29"/>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Peso del producto: aproximadamente 8.5 kg</w:t>
      </w:r>
    </w:p>
    <w:p w14:paraId="3A23B812">
      <w:pPr>
        <w:pStyle w:val="2"/>
        <w:spacing w:before="112" w:line="222" w:lineRule="auto"/>
        <w:ind w:left="29"/>
        <w:rPr>
          <w:rFonts w:hint="default"/>
          <w:lang w:val="en-US"/>
        </w:rPr>
      </w:pPr>
      <w:r>
        <w:rPr>
          <w:rFonts w:ascii="Times New Roman" w:hAnsi="黑体" w:eastAsia="黑体" w:cs="黑体"/>
          <w:snapToGrid w:val="0"/>
          <w:color w:val="000000"/>
          <w:spacing w:val="8"/>
          <w:kern w:val="0"/>
          <w:sz w:val="12"/>
          <w:szCs w:val="12"/>
          <w:lang w:val="en-US" w:eastAsia="en-US" w:bidi="ar-SA"/>
        </w:rPr>
        <w:t>Registro de alarmas: ≥60000 (se puede sustituir por una tarjeta de memoria de alta capacidad para almacenamiento adicional)</w:t>
      </w:r>
    </w:p>
    <w:p w14:paraId="7A3BAD36">
      <w:pPr>
        <w:pStyle w:val="2"/>
        <w:spacing w:before="86" w:line="221" w:lineRule="auto"/>
        <w:ind w:left="29"/>
        <w:rPr>
          <w:rFonts w:hint="default"/>
          <w:lang w:val="en-US"/>
        </w:rPr>
      </w:pPr>
      <w:r>
        <w:rPr>
          <w:rFonts w:ascii="Times New Roman" w:hAnsi="黑体" w:eastAsia="黑体" w:cs="黑体"/>
          <w:snapToGrid w:val="0"/>
          <w:color w:val="000000"/>
          <w:spacing w:val="5"/>
          <w:kern w:val="0"/>
          <w:sz w:val="12"/>
          <w:szCs w:val="12"/>
          <w:lang w:val="en-US" w:eastAsia="en-US" w:bidi="ar-SA"/>
        </w:rPr>
        <w:t>Interruptores pasivos: 6 grupos</w:t>
      </w:r>
    </w:p>
    <w:p w14:paraId="785074A8">
      <w:pPr>
        <w:pStyle w:val="2"/>
        <w:spacing w:before="88" w:line="224" w:lineRule="auto"/>
        <w:ind w:left="29"/>
        <w:rPr>
          <w:rFonts w:hint="default"/>
          <w:lang w:val="en-US"/>
        </w:rPr>
      </w:pPr>
      <w:r>
        <w:rPr>
          <w:rFonts w:ascii="Times New Roman" w:hAnsi="黑体" w:eastAsia="黑体" w:cs="黑体"/>
          <w:snapToGrid w:val="0"/>
          <w:color w:val="000000"/>
          <w:spacing w:val="5"/>
          <w:kern w:val="0"/>
          <w:sz w:val="12"/>
          <w:szCs w:val="12"/>
          <w:lang w:val="en-US" w:eastAsia="en-US" w:bidi="ar-SA"/>
        </w:rPr>
        <w:t>Puerto de red: 1 grupo</w:t>
      </w:r>
    </w:p>
    <w:p w14:paraId="1394CEAF">
      <w:pPr>
        <w:pStyle w:val="2"/>
        <w:spacing w:before="77" w:line="363" w:lineRule="auto"/>
        <w:ind w:left="29" w:right="1880"/>
        <w:rPr>
          <w:rFonts w:hint="default"/>
          <w:lang w:val="en-US"/>
        </w:rPr>
      </w:pPr>
      <w:r>
        <w:rPr>
          <w:rFonts w:ascii="Times New Roman" w:hAnsi="黑体" w:eastAsia="黑体" w:cs="黑体"/>
          <w:snapToGrid w:val="0"/>
          <w:color w:val="000000"/>
          <w:spacing w:val="5"/>
          <w:kern w:val="0"/>
          <w:sz w:val="12"/>
          <w:szCs w:val="12"/>
          <w:lang w:val="en-US" w:eastAsia="en-US" w:bidi="ar-SA"/>
        </w:rPr>
        <w:t>Tras la activación de la alarma, se pueden generar y mantener señales de alarma sonora y luminosa hasta el reinicio manual. La señal sonora de la alarma se puede silenciar manualmente.</w:t>
      </w:r>
    </w:p>
    <w:p w14:paraId="6C2C7DC9">
      <w:pPr>
        <w:pStyle w:val="2"/>
        <w:spacing w:before="92" w:line="221" w:lineRule="auto"/>
        <w:ind w:left="141"/>
        <w:outlineLvl w:val="0"/>
        <w:rPr>
          <w:rFonts w:hint="default"/>
          <w:lang w:val="en-US"/>
        </w:rPr>
      </w:pPr>
      <w:r>
        <w:rPr>
          <w:rFonts w:ascii="Times New Roman"/>
        </w:rPr>
        <w:drawing>
          <wp:anchor distT="0" distB="0" distL="0" distR="0" simplePos="0" relativeHeight="251664384" behindDoc="1" locked="0" layoutInCell="1" allowOverlap="1">
            <wp:simplePos x="0" y="0"/>
            <wp:positionH relativeFrom="column">
              <wp:posOffset>37465</wp:posOffset>
            </wp:positionH>
            <wp:positionV relativeFrom="paragraph">
              <wp:posOffset>12065</wp:posOffset>
            </wp:positionV>
            <wp:extent cx="787400" cy="139700"/>
            <wp:effectExtent l="0" t="0" r="0" b="12700"/>
            <wp:wrapNone/>
            <wp:docPr id="3" name="IM 10"/>
            <wp:cNvGraphicFramePr/>
            <a:graphic xmlns:a="http://schemas.openxmlformats.org/drawingml/2006/main">
              <a:graphicData uri="http://schemas.openxmlformats.org/drawingml/2006/picture">
                <pic:pic xmlns:pic="http://schemas.openxmlformats.org/drawingml/2006/picture">
                  <pic:nvPicPr>
                    <pic:cNvPr id="3" name="IM 10"/>
                    <pic:cNvPicPr/>
                  </pic:nvPicPr>
                  <pic:blipFill>
                    <a:blip r:embed="rId25"/>
                    <a:stretch>
                      <a:fillRect/>
                    </a:stretch>
                  </pic:blipFill>
                  <pic:spPr>
                    <a:xfrm>
                      <a:off x="0" y="0"/>
                      <a:ext cx="787405" cy="139720"/>
                    </a:xfrm>
                    <a:prstGeom prst="rect">
                      <a:avLst/>
                    </a:prstGeom>
                  </pic:spPr>
                </pic:pic>
              </a:graphicData>
            </a:graphic>
          </wp:anchor>
        </w:drawing>
      </w:r>
      <w:bookmarkStart w:id="1" w:name="bookmark3"/>
      <w:bookmarkEnd w:id="1"/>
      <w:r>
        <w:rPr>
          <w:rFonts w:ascii="Times New Roman" w:hAnsi="黑体" w:eastAsia="黑体" w:cs="黑体"/>
          <w:b/>
          <w:bCs/>
          <w:snapToGrid w:val="0"/>
          <w:color w:val="FFFFFF"/>
          <w:spacing w:val="9"/>
          <w:kern w:val="0"/>
          <w:sz w:val="12"/>
          <w:szCs w:val="12"/>
          <w:lang w:val="en-US" w:eastAsia="en-US" w:bidi="ar-SA"/>
        </w:rPr>
        <w:t>III. Composición del sistema</w:t>
      </w:r>
    </w:p>
    <w:p w14:paraId="699F2BC6">
      <w:pPr>
        <w:pStyle w:val="2"/>
        <w:spacing w:before="168" w:line="328" w:lineRule="auto"/>
        <w:ind w:right="31" w:firstLine="310"/>
        <w:rPr>
          <w:rFonts w:hint="default"/>
          <w:lang w:val="en-US"/>
        </w:rPr>
      </w:pPr>
      <w:r>
        <w:rPr>
          <w:rFonts w:ascii="Times New Roman" w:hAnsi="黑体" w:eastAsia="黑体" w:cs="黑体"/>
          <w:snapToGrid w:val="0"/>
          <w:color w:val="000000"/>
          <w:spacing w:val="4"/>
          <w:kern w:val="0"/>
          <w:sz w:val="12"/>
          <w:szCs w:val="12"/>
          <w:lang w:val="en-US" w:eastAsia="en-US" w:bidi="ar-SA"/>
        </w:rPr>
        <w:t>El sistema completo consta de un controlador de alarma de gas y un detector de gas. El controlador se encarga de la retroalimentación de datos en tiempo real del detector y de aplicar las medidas de interconexión correspondientes.</w:t>
      </w:r>
    </w:p>
    <w:p w14:paraId="276D2C5F">
      <w:pPr>
        <w:pStyle w:val="2"/>
        <w:spacing w:before="222" w:line="221" w:lineRule="auto"/>
        <w:ind w:left="151"/>
        <w:outlineLvl w:val="0"/>
        <w:rPr>
          <w:rFonts w:hint="default"/>
          <w:lang w:val="en-US"/>
        </w:rPr>
      </w:pPr>
      <w:r>
        <w:rPr>
          <w:rFonts w:ascii="Times New Roman"/>
        </w:rPr>
        <w:drawing>
          <wp:anchor distT="0" distB="0" distL="0" distR="0" simplePos="0" relativeHeight="251665408" behindDoc="1" locked="0" layoutInCell="1" allowOverlap="1">
            <wp:simplePos x="0" y="0"/>
            <wp:positionH relativeFrom="column">
              <wp:posOffset>37465</wp:posOffset>
            </wp:positionH>
            <wp:positionV relativeFrom="paragraph">
              <wp:posOffset>100965</wp:posOffset>
            </wp:positionV>
            <wp:extent cx="1085850" cy="139700"/>
            <wp:effectExtent l="0" t="0" r="6350" b="12700"/>
            <wp:wrapNone/>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6"/>
                    <a:stretch>
                      <a:fillRect/>
                    </a:stretch>
                  </pic:blipFill>
                  <pic:spPr>
                    <a:xfrm>
                      <a:off x="0" y="0"/>
                      <a:ext cx="1085842" cy="139668"/>
                    </a:xfrm>
                    <a:prstGeom prst="rect">
                      <a:avLst/>
                    </a:prstGeom>
                  </pic:spPr>
                </pic:pic>
              </a:graphicData>
            </a:graphic>
          </wp:anchor>
        </w:drawing>
      </w:r>
      <w:bookmarkStart w:id="2" w:name="bookmark4"/>
      <w:bookmarkEnd w:id="2"/>
      <w:r>
        <w:rPr>
          <w:rFonts w:ascii="Times New Roman" w:hAnsi="黑体" w:eastAsia="黑体" w:cs="黑体"/>
          <w:b/>
          <w:bCs/>
          <w:snapToGrid w:val="0"/>
          <w:color w:val="FFFFFF"/>
          <w:spacing w:val="14"/>
          <w:kern w:val="0"/>
          <w:sz w:val="12"/>
          <w:szCs w:val="12"/>
          <w:lang w:val="en-US" w:eastAsia="en-US" w:bidi="ar-SA"/>
        </w:rPr>
        <w:t>IV. Arquitectura del sistema e instalación</w:t>
      </w:r>
    </w:p>
    <w:p w14:paraId="7735C598">
      <w:pPr>
        <w:pStyle w:val="2"/>
        <w:spacing w:before="137" w:line="222" w:lineRule="auto"/>
        <w:ind w:left="31"/>
        <w:rPr>
          <w:rFonts w:hint="default"/>
          <w:lang w:val="en-US"/>
        </w:rPr>
      </w:pPr>
      <w:r>
        <w:rPr>
          <w:rFonts w:ascii="Times New Roman"/>
        </w:rPr>
        <w:drawing>
          <wp:anchor distT="0" distB="0" distL="0" distR="0" simplePos="0" relativeHeight="251666432" behindDoc="0" locked="0" layoutInCell="1" allowOverlap="1">
            <wp:simplePos x="0" y="0"/>
            <wp:positionH relativeFrom="column">
              <wp:posOffset>88900</wp:posOffset>
            </wp:positionH>
            <wp:positionV relativeFrom="paragraph">
              <wp:posOffset>364490</wp:posOffset>
            </wp:positionV>
            <wp:extent cx="1403350" cy="1339850"/>
            <wp:effectExtent l="0" t="0" r="19050" b="6350"/>
            <wp:wrapNone/>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27"/>
                    <a:stretch>
                      <a:fillRect/>
                    </a:stretch>
                  </pic:blipFill>
                  <pic:spPr>
                    <a:xfrm>
                      <a:off x="0" y="0"/>
                      <a:ext cx="1403346" cy="1339866"/>
                    </a:xfrm>
                    <a:prstGeom prst="rect">
                      <a:avLst/>
                    </a:prstGeom>
                  </pic:spPr>
                </pic:pic>
              </a:graphicData>
            </a:graphic>
          </wp:anchor>
        </w:drawing>
      </w:r>
      <w:r>
        <w:rPr>
          <w:rFonts w:ascii="Times New Roman" w:hAnsi="黑体" w:eastAsia="黑体" w:cs="黑体"/>
          <w:b/>
          <w:bCs/>
          <w:snapToGrid w:val="0"/>
          <w:color w:val="000000"/>
          <w:spacing w:val="3"/>
          <w:kern w:val="0"/>
          <w:sz w:val="12"/>
          <w:szCs w:val="12"/>
          <w:lang w:val="en-US" w:eastAsia="en-US" w:bidi="ar-SA"/>
        </w:rPr>
        <w:t>4.1 Estructura exterior del controlador</w:t>
      </w:r>
    </w:p>
    <w:p w14:paraId="15CE2DFE">
      <w:pPr>
        <w:spacing w:before="68"/>
      </w:pPr>
    </w:p>
    <w:p w14:paraId="077429AB">
      <w:pPr>
        <w:spacing w:before="67"/>
      </w:pPr>
    </w:p>
    <w:tbl>
      <w:tblPr>
        <w:tblStyle w:val="5"/>
        <w:tblW w:w="1709" w:type="dxa"/>
        <w:tblInd w:w="2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1217"/>
      </w:tblGrid>
      <w:tr w14:paraId="1A115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492" w:type="dxa"/>
            <w:vAlign w:val="top"/>
          </w:tcPr>
          <w:p w14:paraId="61900ABF">
            <w:pPr>
              <w:spacing w:before="81" w:line="221" w:lineRule="auto"/>
              <w:ind w:left="104"/>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número de orden</w:t>
            </w:r>
          </w:p>
        </w:tc>
        <w:tc>
          <w:tcPr>
            <w:tcW w:w="1217" w:type="dxa"/>
            <w:vAlign w:val="top"/>
          </w:tcPr>
          <w:p w14:paraId="015BBF94">
            <w:pPr>
              <w:spacing w:before="82" w:line="221" w:lineRule="auto"/>
              <w:ind w:left="472"/>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nombre</w:t>
            </w:r>
          </w:p>
        </w:tc>
      </w:tr>
      <w:tr w14:paraId="13AAF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492" w:type="dxa"/>
            <w:vAlign w:val="top"/>
          </w:tcPr>
          <w:p w14:paraId="6F110E6C">
            <w:pPr>
              <w:spacing w:before="100" w:line="241" w:lineRule="auto"/>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1</w:t>
            </w:r>
          </w:p>
        </w:tc>
        <w:tc>
          <w:tcPr>
            <w:tcW w:w="1217" w:type="dxa"/>
            <w:vAlign w:val="top"/>
          </w:tcPr>
          <w:p w14:paraId="31C3B834">
            <w:pPr>
              <w:spacing w:before="88" w:line="221" w:lineRule="auto"/>
              <w:ind w:left="402"/>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espacio de visualización</w:t>
            </w:r>
          </w:p>
        </w:tc>
      </w:tr>
      <w:tr w14:paraId="72255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492" w:type="dxa"/>
            <w:vAlign w:val="top"/>
          </w:tcPr>
          <w:p w14:paraId="020EB291">
            <w:pPr>
              <w:spacing w:before="102" w:line="241" w:lineRule="auto"/>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2</w:t>
            </w:r>
          </w:p>
        </w:tc>
        <w:tc>
          <w:tcPr>
            <w:tcW w:w="1217" w:type="dxa"/>
            <w:vAlign w:val="top"/>
          </w:tcPr>
          <w:p w14:paraId="05C315A8">
            <w:pPr>
              <w:spacing w:before="89" w:line="219" w:lineRule="auto"/>
              <w:ind w:left="272"/>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zona de indicadores de estado</w:t>
            </w:r>
          </w:p>
        </w:tc>
      </w:tr>
      <w:tr w14:paraId="3BA40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92" w:type="dxa"/>
            <w:vAlign w:val="top"/>
          </w:tcPr>
          <w:p w14:paraId="7A40828A">
            <w:pPr>
              <w:spacing w:before="95"/>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3</w:t>
            </w:r>
          </w:p>
        </w:tc>
        <w:tc>
          <w:tcPr>
            <w:tcW w:w="1217" w:type="dxa"/>
            <w:vAlign w:val="top"/>
          </w:tcPr>
          <w:p w14:paraId="2EADB79D">
            <w:pPr>
              <w:spacing w:before="82" w:line="219" w:lineRule="auto"/>
              <w:ind w:left="272"/>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zona de operación de botones</w:t>
            </w:r>
          </w:p>
        </w:tc>
      </w:tr>
    </w:tbl>
    <w:p w14:paraId="23C7325B">
      <w:pPr>
        <w:rPr>
          <w:rFonts w:ascii="Arial"/>
          <w:sz w:val="21"/>
        </w:rPr>
      </w:pPr>
    </w:p>
    <w:p w14:paraId="27F11C8E">
      <w:pPr>
        <w:rPr>
          <w:rFonts w:ascii="Arial" w:hAnsi="Arial" w:eastAsia="Arial" w:cs="Arial"/>
          <w:sz w:val="21"/>
          <w:szCs w:val="21"/>
        </w:rPr>
        <w:sectPr>
          <w:footerReference r:id="rId6" w:type="default"/>
          <w:pgSz w:w="6030" w:h="8300"/>
          <w:pgMar w:top="705" w:right="674" w:bottom="553" w:left="690" w:header="0" w:footer="445" w:gutter="0"/>
          <w:cols w:space="720" w:num="1"/>
        </w:sectPr>
      </w:pPr>
    </w:p>
    <w:p w14:paraId="68D5B975">
      <w:pPr>
        <w:pStyle w:val="2"/>
        <w:spacing w:before="37" w:line="222" w:lineRule="auto"/>
        <w:ind w:left="39"/>
        <w:rPr>
          <w:rFonts w:hint="default"/>
          <w:sz w:val="11"/>
          <w:szCs w:val="11"/>
          <w:lang w:val="en-US"/>
        </w:rPr>
      </w:pPr>
      <w:r>
        <w:rPr>
          <w:rFonts w:ascii="Times New Roman" w:hAnsi="黑体" w:eastAsia="黑体" w:cs="黑体"/>
          <w:b/>
          <w:bCs/>
          <w:snapToGrid w:val="0"/>
          <w:color w:val="000000"/>
          <w:spacing w:val="10"/>
          <w:kern w:val="0"/>
          <w:sz w:val="11"/>
          <w:szCs w:val="11"/>
          <w:lang w:val="en-US" w:eastAsia="en-US" w:bidi="ar-SA"/>
        </w:rPr>
        <w:t>4.2 Estructura de los componentes principales del controlador</w:t>
      </w:r>
    </w:p>
    <w:p w14:paraId="53D74B8F">
      <w:pPr>
        <w:pStyle w:val="2"/>
        <w:spacing w:before="114" w:line="3710" w:lineRule="exact"/>
        <w:ind w:firstLine="248"/>
      </w:pPr>
      <w:r>
        <w:rPr>
          <w:position w:val="-74"/>
        </w:rPr>
        <w:pict>
          <v:group id="_x0000_s1026" o:spid="_x0000_s1026" o:spt="203" style="height:185.55pt;width:219.85pt;" coordsize="4397,3711">
            <o:lock v:ext="edit"/>
            <v:shape id="_x0000_s1027" o:spid="_x0000_s1027" o:spt="75" type="#_x0000_t75" style="position:absolute;left:219;top:0;height:3711;width:3601;" filled="f" stroked="f" coordsize="21600,21600">
              <v:path/>
              <v:fill on="f" focussize="0,0"/>
              <v:stroke on="f"/>
              <v:imagedata r:id="rId28" o:title=""/>
              <o:lock v:ext="edit" aspectratio="t"/>
            </v:shape>
            <v:shape id="_x0000_s1028" o:spid="_x0000_s1028" o:spt="202" type="#_x0000_t202" style="position:absolute;left:-20;top:-9;height:2816;width:4437;" filled="f" stroked="f" coordsize="21600,21600">
              <v:path/>
              <v:fill on="f" focussize="0,0"/>
              <v:stroke on="f"/>
              <v:imagedata o:title=""/>
              <o:lock v:ext="edit" aspectratio="f"/>
              <v:textbox inset="0mm,0mm,0mm,0mm">
                <w:txbxContent>
                  <w:p w14:paraId="2C0ABB39">
                    <w:pPr>
                      <w:spacing w:before="20" w:line="189" w:lineRule="auto"/>
                      <w:ind w:left="1570"/>
                      <w:rPr>
                        <w:rFonts w:hint="default" w:ascii="黑体" w:hAnsi="黑体" w:eastAsia="黑体" w:cs="黑体"/>
                        <w:sz w:val="11"/>
                        <w:szCs w:val="11"/>
                        <w:highlight w:val="yellow"/>
                        <w:lang w:val="en-US"/>
                      </w:rPr>
                    </w:pPr>
                    <w:r>
                      <w:rPr>
                        <w:rFonts w:ascii="Times New Roman" w:hAnsi="黑体" w:eastAsia="黑体" w:cs="黑体"/>
                        <w:snapToGrid w:val="0"/>
                        <w:color w:val="000000"/>
                        <w:spacing w:val="10"/>
                        <w:kern w:val="0"/>
                        <w:sz w:val="11"/>
                        <w:szCs w:val="11"/>
                        <w:highlight w:val="yellow"/>
                        <w:lang w:val="en-US" w:eastAsia="en-US" w:bidi="ar-SA"/>
                      </w:rPr>
                      <w:t>1 Luz indicadora de la puerta de la carcasa</w:t>
                    </w:r>
                  </w:p>
                  <w:p w14:paraId="458A72CB">
                    <w:pPr>
                      <w:spacing w:line="220" w:lineRule="auto"/>
                      <w:ind w:left="2599"/>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Cubierta de la carcasa</w:t>
                    </w:r>
                  </w:p>
                  <w:p w14:paraId="5DA725E6">
                    <w:pPr>
                      <w:spacing w:before="178" w:line="221" w:lineRule="auto"/>
                      <w:ind w:right="19"/>
                      <w:jc w:val="right"/>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Placa de circuito de indicadores de botones</w:t>
                    </w:r>
                  </w:p>
                  <w:p w14:paraId="5E9F6D76">
                    <w:pPr>
                      <w:spacing w:line="220" w:lineRule="exact"/>
                      <w:rPr>
                        <w:highlight w:val="yellow"/>
                      </w:rPr>
                    </w:pPr>
                  </w:p>
                  <w:tbl>
                    <w:tblPr>
                      <w:tblStyle w:val="5"/>
                      <w:tblW w:w="4198"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83"/>
                      <w:gridCol w:w="2015"/>
                    </w:tblGrid>
                    <w:tr w14:paraId="6A9E5E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0" w:hRule="atLeast"/>
                      </w:trPr>
                      <w:tc>
                        <w:tcPr>
                          <w:tcW w:w="2183" w:type="dxa"/>
                          <w:vAlign w:val="top"/>
                        </w:tcPr>
                        <w:p w14:paraId="7E0EB91E">
                          <w:pPr>
                            <w:spacing w:line="160" w:lineRule="exact"/>
                            <w:rPr>
                              <w:rFonts w:ascii="Arial"/>
                              <w:sz w:val="13"/>
                              <w:highlight w:val="yellow"/>
                            </w:rPr>
                          </w:pPr>
                        </w:p>
                      </w:tc>
                      <w:tc>
                        <w:tcPr>
                          <w:tcW w:w="2015" w:type="dxa"/>
                          <w:vAlign w:val="top"/>
                        </w:tcPr>
                        <w:p w14:paraId="7C047D28">
                          <w:pPr>
                            <w:spacing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celda</w:t>
                          </w:r>
                        </w:p>
                      </w:tc>
                    </w:tr>
                    <w:tr w14:paraId="7E1322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2183" w:type="dxa"/>
                          <w:vAlign w:val="top"/>
                        </w:tcPr>
                        <w:p w14:paraId="1C4EFD3A">
                          <w:pPr>
                            <w:spacing w:line="262" w:lineRule="auto"/>
                            <w:rPr>
                              <w:rFonts w:ascii="Arial"/>
                              <w:sz w:val="21"/>
                              <w:highlight w:val="yellow"/>
                            </w:rPr>
                          </w:pPr>
                        </w:p>
                        <w:p w14:paraId="4E126D84">
                          <w:pPr>
                            <w:spacing w:before="23" w:line="221" w:lineRule="auto"/>
                            <w:ind w:left="310"/>
                            <w:rPr>
                              <w:rFonts w:hint="default" w:ascii="黑体" w:hAnsi="黑体" w:eastAsia="黑体" w:cs="黑体"/>
                              <w:sz w:val="7"/>
                              <w:szCs w:val="7"/>
                              <w:highlight w:val="yellow"/>
                              <w:lang w:val="en-US"/>
                            </w:rPr>
                          </w:pPr>
                          <w:r>
                            <w:rPr>
                              <w:rFonts w:ascii="Times New Roman" w:hAnsi="黑体" w:eastAsia="黑体" w:cs="黑体"/>
                              <w:snapToGrid w:val="0"/>
                              <w:color w:val="000000"/>
                              <w:spacing w:val="-3"/>
                              <w:kern w:val="0"/>
                              <w:sz w:val="7"/>
                              <w:szCs w:val="7"/>
                              <w:highlight w:val="yellow"/>
                              <w:lang w:val="en-US" w:eastAsia="en-US" w:bidi="ar-SA"/>
                            </w:rPr>
                            <w:t>placa base ·</w:t>
                          </w:r>
                        </w:p>
                      </w:tc>
                      <w:tc>
                        <w:tcPr>
                          <w:tcW w:w="2015" w:type="dxa"/>
                          <w:vAlign w:val="top"/>
                        </w:tcPr>
                        <w:p w14:paraId="0629DCA1">
                          <w:pPr>
                            <w:spacing w:before="59" w:line="222"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de visualización</w:t>
                          </w:r>
                        </w:p>
                        <w:p w14:paraId="3928C213">
                          <w:pPr>
                            <w:spacing w:before="57"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botón</w:t>
                          </w:r>
                        </w:p>
                      </w:tc>
                    </w:tr>
                    <w:tr w14:paraId="53F2FF1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10" w:hRule="atLeast"/>
                      </w:trPr>
                      <w:tc>
                        <w:tcPr>
                          <w:tcW w:w="2183" w:type="dxa"/>
                          <w:vAlign w:val="top"/>
                        </w:tcPr>
                        <w:p w14:paraId="0E0E5463">
                          <w:pPr>
                            <w:spacing w:before="76" w:line="198" w:lineRule="auto"/>
                            <w:ind w:left="219"/>
                            <w:rPr>
                              <w:rFonts w:hint="default" w:ascii="Arial" w:hAnsi="Arial" w:eastAsia="Arial" w:cs="Arial"/>
                              <w:sz w:val="11"/>
                              <w:szCs w:val="11"/>
                              <w:highlight w:val="yellow"/>
                              <w:lang w:val="en-US"/>
                            </w:rPr>
                          </w:pPr>
                          <w:r>
                            <w:rPr>
                              <w:rFonts w:ascii="Times New Roman" w:hAnsi="Arial" w:eastAsia="Arial" w:cs="Arial"/>
                              <w:snapToGrid w:val="0"/>
                              <w:color w:val="309040"/>
                              <w:spacing w:val="-5"/>
                              <w:kern w:val="0"/>
                              <w:sz w:val="11"/>
                              <w:szCs w:val="11"/>
                              <w:highlight w:val="yellow"/>
                              <w:lang w:val="en-US" w:eastAsia="en-US" w:bidi="ar-SA"/>
                            </w:rPr>
                            <w:t>4GDTU-</w:t>
                          </w:r>
                        </w:p>
                      </w:tc>
                      <w:tc>
                        <w:tcPr>
                          <w:tcW w:w="2015" w:type="dxa"/>
                          <w:vAlign w:val="top"/>
                        </w:tcPr>
                        <w:p w14:paraId="52DBA7A0">
                          <w:pPr>
                            <w:spacing w:before="44" w:line="225"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Lámpara</w:t>
                          </w:r>
                        </w:p>
                      </w:tc>
                    </w:tr>
                    <w:tr w14:paraId="6CEEF6C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43" w:hRule="atLeast"/>
                      </w:trPr>
                      <w:tc>
                        <w:tcPr>
                          <w:tcW w:w="2183" w:type="dxa"/>
                          <w:vAlign w:val="top"/>
                        </w:tcPr>
                        <w:p w14:paraId="6F664A0B">
                          <w:pPr>
                            <w:spacing w:before="63" w:line="310" w:lineRule="auto"/>
                            <w:ind w:left="309" w:right="1656" w:hanging="290"/>
                            <w:rPr>
                              <w:rFonts w:hint="default" w:ascii="黑体" w:hAnsi="黑体" w:eastAsia="黑体" w:cs="黑体"/>
                              <w:sz w:val="11"/>
                              <w:szCs w:val="11"/>
                              <w:highlight w:val="yellow"/>
                              <w:lang w:val="en-US"/>
                            </w:rPr>
                          </w:pPr>
                          <w:r>
                            <w:rPr>
                              <w:rFonts w:ascii="Times New Roman" w:hAnsi="黑体" w:eastAsia="黑体" w:cs="黑体"/>
                              <w:snapToGrid w:val="0"/>
                              <w:color w:val="000000"/>
                              <w:spacing w:val="-5"/>
                              <w:w w:val="82"/>
                              <w:kern w:val="0"/>
                              <w:sz w:val="11"/>
                              <w:szCs w:val="11"/>
                              <w:highlight w:val="yellow"/>
                              <w:lang w:val="en-US" w:eastAsia="en-US" w:bidi="ar-SA"/>
                            </w:rPr>
                            <w:t>Placa de revestimiento de la carcasa de fijación de la batería</w:t>
                          </w:r>
                        </w:p>
                      </w:tc>
                      <w:tc>
                        <w:tcPr>
                          <w:tcW w:w="2015" w:type="dxa"/>
                          <w:vAlign w:val="top"/>
                        </w:tcPr>
                        <w:p w14:paraId="58D464CA">
                          <w:pPr>
                            <w:spacing w:before="52" w:line="221"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fuente</w:t>
                          </w:r>
                        </w:p>
                        <w:p w14:paraId="74C430F9">
                          <w:pPr>
                            <w:spacing w:before="78" w:line="221" w:lineRule="auto"/>
                            <w:jc w:val="right"/>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Soporte de la alimentación eléctrica</w:t>
                          </w:r>
                        </w:p>
                      </w:tc>
                    </w:tr>
                    <w:tr w14:paraId="7B7AC9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72" w:hRule="atLeast"/>
                      </w:trPr>
                      <w:tc>
                        <w:tcPr>
                          <w:tcW w:w="2183" w:type="dxa"/>
                          <w:vAlign w:val="top"/>
                        </w:tcPr>
                        <w:p w14:paraId="6E91E5DC">
                          <w:pPr>
                            <w:spacing w:before="49" w:line="322" w:lineRule="auto"/>
                            <w:ind w:right="1658" w:firstLine="310"/>
                            <w:rPr>
                              <w:rFonts w:hint="default" w:ascii="黑体" w:hAnsi="黑体" w:eastAsia="黑体" w:cs="黑体"/>
                              <w:sz w:val="11"/>
                              <w:szCs w:val="11"/>
                              <w:highlight w:val="yellow"/>
                              <w:lang w:val="en-US"/>
                            </w:rPr>
                          </w:pPr>
                          <w:r>
                            <w:rPr>
                              <w:rFonts w:ascii="Times New Roman" w:hAnsi="黑体" w:eastAsia="黑体" w:cs="黑体"/>
                              <w:snapToGrid w:val="0"/>
                              <w:color w:val="000000"/>
                              <w:spacing w:val="-6"/>
                              <w:kern w:val="0"/>
                              <w:sz w:val="11"/>
                              <w:szCs w:val="11"/>
                              <w:highlight w:val="yellow"/>
                              <w:lang w:val="en-US" w:eastAsia="en-US" w:bidi="ar-SA"/>
                            </w:rPr>
                            <w:t>Soporte de montaje de la bisagra de la carcasa</w:t>
                          </w:r>
                        </w:p>
                      </w:tc>
                      <w:tc>
                        <w:tcPr>
                          <w:tcW w:w="2015" w:type="dxa"/>
                          <w:vAlign w:val="top"/>
                        </w:tcPr>
                        <w:p w14:paraId="4030FA10">
                          <w:pPr>
                            <w:spacing w:before="229" w:line="222"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filtro</w:t>
                          </w:r>
                        </w:p>
                        <w:p w14:paraId="1866F253">
                          <w:pPr>
                            <w:spacing w:before="88"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chasis</w:t>
                          </w:r>
                        </w:p>
                        <w:p w14:paraId="72476DE2">
                          <w:pPr>
                            <w:spacing w:before="77" w:line="170"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Puerta de la carcasa</w:t>
                          </w:r>
                        </w:p>
                      </w:tc>
                    </w:tr>
                  </w:tbl>
                  <w:p w14:paraId="0ADA23EC">
                    <w:pPr>
                      <w:rPr>
                        <w:rFonts w:ascii="Arial"/>
                        <w:sz w:val="21"/>
                        <w:highlight w:val="yellow"/>
                      </w:rPr>
                    </w:pPr>
                  </w:p>
                </w:txbxContent>
              </v:textbox>
            </v:shape>
            <w10:wrap type="none"/>
            <w10:anchorlock/>
          </v:group>
        </w:pict>
      </w:r>
    </w:p>
    <w:p w14:paraId="7E781FEF">
      <w:pPr>
        <w:pStyle w:val="2"/>
        <w:spacing w:before="61" w:line="221" w:lineRule="auto"/>
        <w:rPr>
          <w:rFonts w:hint="default"/>
          <w:sz w:val="11"/>
          <w:szCs w:val="11"/>
          <w:lang w:val="en-US"/>
        </w:rPr>
      </w:pPr>
      <w:r>
        <w:rPr>
          <w:rFonts w:ascii="Times New Roman" w:hAnsi="黑体" w:eastAsia="黑体" w:cs="黑体"/>
          <w:b/>
          <w:bCs/>
          <w:snapToGrid w:val="0"/>
          <w:color w:val="000000"/>
          <w:spacing w:val="8"/>
          <w:kern w:val="0"/>
          <w:sz w:val="11"/>
          <w:szCs w:val="11"/>
          <w:lang w:val="en-US" w:eastAsia="en-US" w:bidi="ar-SA"/>
        </w:rPr>
        <w:t>4.3 Dimensiones del producto</w:t>
      </w:r>
    </w:p>
    <w:p w14:paraId="199582FD">
      <w:pPr>
        <w:spacing w:before="59" w:line="188" w:lineRule="auto"/>
        <w:ind w:left="1538"/>
        <w:rPr>
          <w:rFonts w:hint="default" w:ascii="Times New Roman" w:hAnsi="Times New Roman" w:eastAsia="Times New Roman" w:cs="Times New Roman"/>
          <w:sz w:val="11"/>
          <w:szCs w:val="11"/>
          <w:lang w:val="en-US"/>
        </w:rPr>
      </w:pPr>
      <w:r>
        <w:rPr>
          <w:rFonts w:ascii="Times New Roman"/>
        </w:rPr>
        <w:drawing>
          <wp:anchor distT="0" distB="0" distL="0" distR="0" simplePos="0" relativeHeight="251668480" behindDoc="0" locked="0" layoutInCell="1" allowOverlap="1">
            <wp:simplePos x="0" y="0"/>
            <wp:positionH relativeFrom="column">
              <wp:posOffset>430530</wp:posOffset>
            </wp:positionH>
            <wp:positionV relativeFrom="paragraph">
              <wp:posOffset>99060</wp:posOffset>
            </wp:positionV>
            <wp:extent cx="1117600" cy="1479550"/>
            <wp:effectExtent l="0" t="0" r="0" b="19050"/>
            <wp:wrapNone/>
            <wp:docPr id="10" name="IM 16"/>
            <wp:cNvGraphicFramePr/>
            <a:graphic xmlns:a="http://schemas.openxmlformats.org/drawingml/2006/main">
              <a:graphicData uri="http://schemas.openxmlformats.org/drawingml/2006/picture">
                <pic:pic xmlns:pic="http://schemas.openxmlformats.org/drawingml/2006/picture">
                  <pic:nvPicPr>
                    <pic:cNvPr id="10" name="IM 16"/>
                    <pic:cNvPicPr/>
                  </pic:nvPicPr>
                  <pic:blipFill>
                    <a:blip r:embed="rId29"/>
                    <a:stretch>
                      <a:fillRect/>
                    </a:stretch>
                  </pic:blipFill>
                  <pic:spPr>
                    <a:xfrm>
                      <a:off x="0" y="0"/>
                      <a:ext cx="1117584" cy="1479587"/>
                    </a:xfrm>
                    <a:prstGeom prst="rect">
                      <a:avLst/>
                    </a:prstGeom>
                  </pic:spPr>
                </pic:pic>
              </a:graphicData>
            </a:graphic>
          </wp:anchor>
        </w:drawing>
      </w:r>
      <w:r>
        <w:rPr>
          <w:rFonts w:ascii="Times New Roman"/>
        </w:rPr>
        <mc:AlternateContent>
          <mc:Choice Requires="wps">
            <w:drawing>
              <wp:anchor distT="0" distB="0" distL="114300" distR="114300" simplePos="0" relativeHeight="251667456" behindDoc="0" locked="0" layoutInCell="1" allowOverlap="1">
                <wp:simplePos x="0" y="0"/>
                <wp:positionH relativeFrom="column">
                  <wp:posOffset>2240280</wp:posOffset>
                </wp:positionH>
                <wp:positionV relativeFrom="paragraph">
                  <wp:posOffset>56515</wp:posOffset>
                </wp:positionV>
                <wp:extent cx="122555" cy="889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2555" cy="88900"/>
                        </a:xfrm>
                        <a:prstGeom prst="rect">
                          <a:avLst/>
                        </a:prstGeom>
                        <a:noFill/>
                        <a:ln>
                          <a:noFill/>
                        </a:ln>
                      </wps:spPr>
                      <wps:txbx>
                        <w:txbxContent>
                          <w:p w14:paraId="2EA504A4">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3"/>
                                <w:kern w:val="0"/>
                                <w:sz w:val="11"/>
                                <w:szCs w:val="11"/>
                                <w:highlight w:val="yellow"/>
                                <w:lang w:val="en-US" w:eastAsia="en-US" w:bidi="ar-SA"/>
                              </w:rPr>
                              <w:t>118</w:t>
                            </w:r>
                          </w:p>
                        </w:txbxContent>
                      </wps:txbx>
                      <wps:bodyPr lIns="0" tIns="0" rIns="0" bIns="0" upright="1"/>
                    </wps:wsp>
                  </a:graphicData>
                </a:graphic>
              </wp:anchor>
            </w:drawing>
          </mc:Choice>
          <mc:Fallback>
            <w:pict>
              <v:shape id="_x0000_s1026" o:spid="_x0000_s1026" o:spt="202" type="#_x0000_t202" style="position:absolute;left:0pt;margin-left:176.4pt;margin-top:4.45pt;height:7pt;width:9.65pt;z-index:251667456;mso-width-relative:page;mso-height-relative:page;" filled="f" stroked="f" coordsize="21600,21600" o:gfxdata="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h7TaB2AAAAAgBAAAPAAAAAAAAAAEAIAAAACIAAABkcnMvZG93bnJldi54bWxQSwECFAAU&#10;AAAACACHTuJAr7m8zrgBAABwAwAADgAAAAAAAAABACAAAAAnAQAAZHJzL2Uyb0RvYy54bWxQSwUG&#10;AAAAAAYABgBZAQAAUQUAAAAA&#10;">
                <v:fill on="f" focussize="0,0"/>
                <v:stroke on="f"/>
                <v:imagedata o:title=""/>
                <o:lock v:ext="edit" aspectratio="f"/>
                <v:textbox inset="0mm,0mm,0mm,0mm">
                  <w:txbxContent>
                    <w:p w14:paraId="2EA504A4">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3"/>
                          <w:kern w:val="0"/>
                          <w:sz w:val="11"/>
                          <w:szCs w:val="11"/>
                          <w:highlight w:val="yellow"/>
                          <w:lang w:val="en-US" w:eastAsia="en-US" w:bidi="ar-SA"/>
                        </w:rPr>
                        <w:t>118</w:t>
                      </w:r>
                    </w:p>
                  </w:txbxContent>
                </v:textbox>
              </v:shape>
            </w:pict>
          </mc:Fallback>
        </mc:AlternateContent>
      </w:r>
      <w:r>
        <w:rPr>
          <w:rFonts w:ascii="Times New Roman" w:hAnsi="Times New Roman" w:eastAsia="Times New Roman" w:cs="Times New Roman"/>
          <w:snapToGrid w:val="0"/>
          <w:color w:val="000000"/>
          <w:spacing w:val="-2"/>
          <w:kern w:val="0"/>
          <w:sz w:val="11"/>
          <w:szCs w:val="11"/>
          <w:lang w:val="en-US" w:eastAsia="en-US" w:bidi="ar-SA"/>
        </w:rPr>
        <w:t>300</w:t>
      </w:r>
    </w:p>
    <w:p w14:paraId="603F7B5E">
      <w:pPr>
        <w:spacing w:line="298" w:lineRule="auto"/>
        <w:rPr>
          <w:rFonts w:ascii="Arial"/>
          <w:sz w:val="21"/>
        </w:rPr>
      </w:pPr>
      <w:r>
        <w:drawing>
          <wp:anchor distT="0" distB="0" distL="0" distR="0" simplePos="0" relativeHeight="251660288" behindDoc="0" locked="0" layoutInCell="1" allowOverlap="1">
            <wp:simplePos x="0" y="0"/>
            <wp:positionH relativeFrom="column">
              <wp:posOffset>2106930</wp:posOffset>
            </wp:positionH>
            <wp:positionV relativeFrom="paragraph">
              <wp:posOffset>17145</wp:posOffset>
            </wp:positionV>
            <wp:extent cx="444500" cy="14732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0"/>
                    <a:stretch>
                      <a:fillRect/>
                    </a:stretch>
                  </pic:blipFill>
                  <pic:spPr>
                    <a:xfrm>
                      <a:off x="0" y="0"/>
                      <a:ext cx="444476" cy="1473210"/>
                    </a:xfrm>
                    <a:prstGeom prst="rect">
                      <a:avLst/>
                    </a:prstGeom>
                  </pic:spPr>
                </pic:pic>
              </a:graphicData>
            </a:graphic>
          </wp:anchor>
        </w:drawing>
      </w:r>
    </w:p>
    <w:p w14:paraId="73794007">
      <w:pPr>
        <w:spacing w:line="298" w:lineRule="auto"/>
        <w:rPr>
          <w:rFonts w:ascii="Arial"/>
          <w:sz w:val="21"/>
        </w:rPr>
      </w:pPr>
    </w:p>
    <w:p w14:paraId="0FC608A8">
      <w:pPr>
        <w:spacing w:line="298" w:lineRule="auto"/>
        <w:rPr>
          <w:rFonts w:ascii="Arial"/>
          <w:sz w:val="21"/>
        </w:rPr>
      </w:pPr>
    </w:p>
    <w:p w14:paraId="24968D50">
      <w:pPr>
        <w:spacing w:line="298" w:lineRule="auto"/>
        <w:rPr>
          <w:rFonts w:ascii="Arial"/>
          <w:sz w:val="21"/>
        </w:rPr>
      </w:pPr>
    </w:p>
    <w:p w14:paraId="472AD980">
      <w:pPr>
        <w:spacing w:before="32" w:line="188" w:lineRule="auto"/>
        <w:ind w:left="418"/>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435</w:t>
      </w:r>
    </w:p>
    <w:p w14:paraId="03C06C9C">
      <w:pPr>
        <w:spacing w:line="188" w:lineRule="auto"/>
        <w:rPr>
          <w:rFonts w:ascii="Times New Roman" w:hAnsi="Times New Roman" w:eastAsia="Times New Roman" w:cs="Times New Roman"/>
          <w:sz w:val="11"/>
          <w:szCs w:val="11"/>
        </w:rPr>
        <w:sectPr>
          <w:footerReference r:id="rId7" w:type="default"/>
          <w:pgSz w:w="6030" w:h="8300"/>
          <w:pgMar w:top="705" w:right="693" w:bottom="546" w:left="691" w:header="0" w:footer="447" w:gutter="0"/>
          <w:cols w:space="720" w:num="1"/>
        </w:sectPr>
      </w:pPr>
    </w:p>
    <w:p w14:paraId="0FFEF735">
      <w:pPr>
        <w:pStyle w:val="2"/>
        <w:spacing w:before="24" w:line="223"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4.4 Instalación fija del controlador</w:t>
      </w:r>
    </w:p>
    <w:p w14:paraId="1C2EC7E7">
      <w:pPr>
        <w:pStyle w:val="2"/>
        <w:spacing w:before="102" w:line="217" w:lineRule="auto"/>
        <w:ind w:left="1430"/>
        <w:rPr>
          <w:rFonts w:hint="default"/>
          <w:lang w:val="en-US"/>
        </w:rPr>
      </w:pPr>
      <w:r>
        <w:rPr>
          <w:rFonts w:ascii="Times New Roman"/>
        </w:rPr>
        <w:drawing>
          <wp:anchor distT="0" distB="0" distL="0" distR="0" simplePos="0" relativeHeight="251669504" behindDoc="1" locked="0" layoutInCell="1" allowOverlap="1">
            <wp:simplePos x="0" y="0"/>
            <wp:positionH relativeFrom="column">
              <wp:posOffset>869950</wp:posOffset>
            </wp:positionH>
            <wp:positionV relativeFrom="paragraph">
              <wp:posOffset>57785</wp:posOffset>
            </wp:positionV>
            <wp:extent cx="1524000" cy="1981200"/>
            <wp:effectExtent l="0" t="0" r="0" b="0"/>
            <wp:wrapNone/>
            <wp:docPr id="11" name="IM 20"/>
            <wp:cNvGraphicFramePr/>
            <a:graphic xmlns:a="http://schemas.openxmlformats.org/drawingml/2006/main">
              <a:graphicData uri="http://schemas.openxmlformats.org/drawingml/2006/picture">
                <pic:pic xmlns:pic="http://schemas.openxmlformats.org/drawingml/2006/picture">
                  <pic:nvPicPr>
                    <pic:cNvPr id="11" name="IM 20"/>
                    <pic:cNvPicPr/>
                  </pic:nvPicPr>
                  <pic:blipFill>
                    <a:blip r:embed="rId31"/>
                    <a:stretch>
                      <a:fillRect/>
                    </a:stretch>
                  </pic:blipFill>
                  <pic:spPr>
                    <a:xfrm>
                      <a:off x="0" y="0"/>
                      <a:ext cx="1524000" cy="1981233"/>
                    </a:xfrm>
                    <a:prstGeom prst="rect">
                      <a:avLst/>
                    </a:prstGeom>
                  </pic:spPr>
                </pic:pic>
              </a:graphicData>
            </a:graphic>
          </wp:anchor>
        </w:drawing>
      </w:r>
      <w:r>
        <w:rPr>
          <w:rFonts w:ascii="Times New Roman" w:hAnsi="黑体" w:eastAsia="黑体" w:cs="黑体"/>
          <w:snapToGrid w:val="0"/>
          <w:color w:val="000000"/>
          <w:spacing w:val="-5"/>
          <w:w w:val="94"/>
          <w:kern w:val="0"/>
          <w:sz w:val="12"/>
          <w:szCs w:val="12"/>
          <w:lang w:val="en-US" w:eastAsia="en-US" w:bidi="ar-SA"/>
        </w:rPr>
        <w:t>tuerca _</w:t>
      </w:r>
    </w:p>
    <w:p w14:paraId="0C1D5969">
      <w:pPr>
        <w:pStyle w:val="2"/>
        <w:spacing w:before="103" w:line="223" w:lineRule="auto"/>
        <w:ind w:left="2980"/>
        <w:rPr>
          <w:rFonts w:hint="default"/>
          <w:lang w:val="en-US"/>
        </w:rPr>
      </w:pPr>
      <w:r>
        <w:rPr>
          <w:rFonts w:ascii="Times New Roman"/>
        </w:rPr>
        <mc:AlternateContent>
          <mc:Choice Requires="wps">
            <w:drawing>
              <wp:anchor distT="0" distB="0" distL="114300" distR="114300" simplePos="0" relativeHeight="251670528" behindDoc="0" locked="0" layoutInCell="1" allowOverlap="1">
                <wp:simplePos x="0" y="0"/>
                <wp:positionH relativeFrom="column">
                  <wp:posOffset>869950</wp:posOffset>
                </wp:positionH>
                <wp:positionV relativeFrom="paragraph">
                  <wp:posOffset>46355</wp:posOffset>
                </wp:positionV>
                <wp:extent cx="353060" cy="27622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53060" cy="276225"/>
                        </a:xfrm>
                        <a:prstGeom prst="rect">
                          <a:avLst/>
                        </a:prstGeom>
                        <a:noFill/>
                        <a:ln>
                          <a:noFill/>
                        </a:ln>
                      </wps:spPr>
                      <wps:txbx>
                        <w:txbxContent>
                          <w:p w14:paraId="61286BC0">
                            <w:pPr>
                              <w:pStyle w:val="2"/>
                              <w:spacing w:before="20" w:line="319" w:lineRule="auto"/>
                              <w:ind w:left="20" w:right="20"/>
                              <w:rPr>
                                <w:rFonts w:hint="default"/>
                                <w:highlight w:val="yellow"/>
                                <w:lang w:val="en-US"/>
                              </w:rPr>
                            </w:pPr>
                            <w:r>
                              <w:rPr>
                                <w:rFonts w:ascii="Times New Roman" w:hAnsi="黑体" w:eastAsia="黑体" w:cs="黑体"/>
                                <w:snapToGrid w:val="0"/>
                                <w:color w:val="000000"/>
                                <w:spacing w:val="-1"/>
                                <w:kern w:val="0"/>
                                <w:sz w:val="12"/>
                                <w:szCs w:val="12"/>
                                <w:highlight w:val="yellow"/>
                                <w:lang w:val="en-US" w:eastAsia="en-US" w:bidi="ar-SA"/>
                              </w:rPr>
                              <w:t>Soporte de montaje del controlador</w:t>
                            </w:r>
                          </w:p>
                        </w:txbxContent>
                      </wps:txbx>
                      <wps:bodyPr lIns="0" tIns="0" rIns="0" bIns="0" upright="1"/>
                    </wps:wsp>
                  </a:graphicData>
                </a:graphic>
              </wp:anchor>
            </w:drawing>
          </mc:Choice>
          <mc:Fallback>
            <w:pict>
              <v:shape id="_x0000_s1026" o:spid="_x0000_s1026" o:spt="202" type="#_x0000_t202" style="position:absolute;left:0pt;margin-left:68.5pt;margin-top:3.65pt;height:21.75pt;width:27.8pt;z-index:251670528;mso-width-relative:page;mso-height-relative:page;" filled="f" stroked="f" coordsize="21600,21600" o:gfxdata="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ZfHFe1wAAAAgBAAAPAAAAAAAAAAEAIAAAACIAAABkcnMvZG93bnJldi54bWxQSwECFAAU&#10;AAAACACHTuJArs1sHbkBAABzAwAADgAAAAAAAAABACAAAAAmAQAAZHJzL2Uyb0RvYy54bWxQSwUG&#10;AAAAAAYABgBZAQAAUQUAAAAA&#10;">
                <v:fill on="f" focussize="0,0"/>
                <v:stroke on="f"/>
                <v:imagedata o:title=""/>
                <o:lock v:ext="edit" aspectratio="f"/>
                <v:textbox inset="0mm,0mm,0mm,0mm">
                  <w:txbxContent>
                    <w:p w14:paraId="61286BC0">
                      <w:pPr>
                        <w:pStyle w:val="2"/>
                        <w:spacing w:before="20" w:line="319" w:lineRule="auto"/>
                        <w:ind w:left="20" w:right="20"/>
                        <w:rPr>
                          <w:rFonts w:hint="default"/>
                          <w:highlight w:val="yellow"/>
                          <w:lang w:val="en-US"/>
                        </w:rPr>
                      </w:pPr>
                      <w:r>
                        <w:rPr>
                          <w:rFonts w:ascii="Times New Roman" w:hAnsi="黑体" w:eastAsia="黑体" w:cs="黑体"/>
                          <w:snapToGrid w:val="0"/>
                          <w:color w:val="000000"/>
                          <w:spacing w:val="-1"/>
                          <w:kern w:val="0"/>
                          <w:sz w:val="12"/>
                          <w:szCs w:val="12"/>
                          <w:highlight w:val="yellow"/>
                          <w:lang w:val="en-US" w:eastAsia="en-US" w:bidi="ar-SA"/>
                        </w:rPr>
                        <w:t>Soporte de montaje del controlador</w:t>
                      </w:r>
                    </w:p>
                  </w:txbxContent>
                </v:textbox>
              </v:shape>
            </w:pict>
          </mc:Fallback>
        </mc:AlternateContent>
      </w:r>
      <w:r>
        <w:rPr>
          <w:rFonts w:ascii="Times New Roman" w:hAnsi="黑体" w:eastAsia="黑体" w:cs="黑体"/>
          <w:snapToGrid w:val="0"/>
          <w:color w:val="000000"/>
          <w:spacing w:val="-2"/>
          <w:kern w:val="0"/>
          <w:sz w:val="12"/>
          <w:szCs w:val="12"/>
          <w:lang w:val="en-US" w:eastAsia="en-US" w:bidi="ar-SA"/>
        </w:rPr>
        <w:t>pared</w:t>
      </w:r>
    </w:p>
    <w:p w14:paraId="1AFC41B9">
      <w:pPr>
        <w:pStyle w:val="2"/>
        <w:spacing w:before="244" w:line="222" w:lineRule="auto"/>
        <w:ind w:left="2889"/>
        <w:rPr>
          <w:rFonts w:hint="default"/>
          <w:lang w:val="en-US"/>
        </w:rPr>
      </w:pPr>
      <w:r>
        <w:rPr>
          <w:rFonts w:ascii="Times New Roman" w:hAnsi="黑体" w:eastAsia="黑体" w:cs="黑体"/>
          <w:snapToGrid w:val="0"/>
          <w:color w:val="000000"/>
          <w:spacing w:val="5"/>
          <w:kern w:val="0"/>
          <w:sz w:val="12"/>
          <w:szCs w:val="12"/>
          <w:lang w:val="en-US" w:eastAsia="en-US" w:bidi="ar-SA"/>
        </w:rPr>
        <w:t>piñón, piñón metálico</w:t>
      </w:r>
    </w:p>
    <w:p w14:paraId="601EA52E">
      <w:pPr>
        <w:spacing w:line="250" w:lineRule="auto"/>
        <w:rPr>
          <w:rFonts w:ascii="Arial"/>
          <w:sz w:val="21"/>
        </w:rPr>
      </w:pPr>
    </w:p>
    <w:p w14:paraId="0E368FD7">
      <w:pPr>
        <w:spacing w:line="250" w:lineRule="auto"/>
        <w:rPr>
          <w:rFonts w:ascii="Arial"/>
          <w:sz w:val="21"/>
        </w:rPr>
      </w:pPr>
    </w:p>
    <w:p w14:paraId="5CC4B76B">
      <w:pPr>
        <w:spacing w:line="250" w:lineRule="auto"/>
        <w:rPr>
          <w:rFonts w:ascii="Arial"/>
          <w:sz w:val="21"/>
        </w:rPr>
      </w:pPr>
    </w:p>
    <w:p w14:paraId="43A43CBF">
      <w:pPr>
        <w:spacing w:line="250" w:lineRule="auto"/>
        <w:rPr>
          <w:rFonts w:ascii="Arial"/>
          <w:sz w:val="21"/>
        </w:rPr>
      </w:pPr>
    </w:p>
    <w:p w14:paraId="398F2E75">
      <w:pPr>
        <w:spacing w:line="250" w:lineRule="auto"/>
        <w:rPr>
          <w:rFonts w:ascii="Arial"/>
          <w:sz w:val="21"/>
        </w:rPr>
      </w:pPr>
    </w:p>
    <w:p w14:paraId="22D36AA7">
      <w:pPr>
        <w:spacing w:line="250" w:lineRule="auto"/>
        <w:rPr>
          <w:rFonts w:ascii="Arial"/>
          <w:sz w:val="21"/>
        </w:rPr>
      </w:pPr>
    </w:p>
    <w:p w14:paraId="522A3185">
      <w:pPr>
        <w:spacing w:line="251" w:lineRule="auto"/>
        <w:rPr>
          <w:rFonts w:ascii="Arial"/>
          <w:sz w:val="21"/>
        </w:rPr>
      </w:pPr>
    </w:p>
    <w:p w14:paraId="1ACF75B2">
      <w:pPr>
        <w:spacing w:line="251" w:lineRule="auto"/>
        <w:rPr>
          <w:rFonts w:ascii="Arial"/>
          <w:sz w:val="21"/>
        </w:rPr>
      </w:pPr>
    </w:p>
    <w:p w14:paraId="188E74EC">
      <w:pPr>
        <w:spacing w:line="251" w:lineRule="auto"/>
        <w:rPr>
          <w:rFonts w:ascii="Arial"/>
          <w:sz w:val="21"/>
        </w:rPr>
      </w:pPr>
    </w:p>
    <w:p w14:paraId="5DF04B94">
      <w:pPr>
        <w:spacing w:line="251" w:lineRule="auto"/>
        <w:rPr>
          <w:rFonts w:ascii="Arial"/>
          <w:sz w:val="21"/>
        </w:rPr>
      </w:pPr>
    </w:p>
    <w:p w14:paraId="64F4996A">
      <w:pPr>
        <w:pStyle w:val="2"/>
        <w:spacing w:before="39" w:line="213" w:lineRule="auto"/>
        <w:rPr>
          <w:rFonts w:hint="default"/>
          <w:lang w:val="en-US"/>
        </w:rPr>
      </w:pPr>
      <w:r>
        <w:rPr>
          <w:rFonts w:ascii="Times New Roman" w:hAnsi="黑体" w:eastAsia="黑体" w:cs="黑体"/>
          <w:snapToGrid w:val="0"/>
          <w:color w:val="000000"/>
          <w:spacing w:val="4"/>
          <w:kern w:val="0"/>
          <w:sz w:val="12"/>
          <w:szCs w:val="12"/>
          <w:lang w:val="en-US" w:eastAsia="en-US" w:bidi="ar-SA"/>
        </w:rPr>
        <w:t>Lugar de instalación: entorno no antideflagrante, sala de guardia o zonas con acceso frecuente de personal.</w:t>
      </w:r>
    </w:p>
    <w:p w14:paraId="7E3FB872">
      <w:pPr>
        <w:pStyle w:val="2"/>
        <w:spacing w:before="92" w:line="213" w:lineRule="auto"/>
        <w:rPr>
          <w:rFonts w:hint="default"/>
          <w:lang w:val="en-US"/>
        </w:rPr>
      </w:pPr>
      <w:r>
        <w:rPr>
          <w:rFonts w:ascii="Times New Roman" w:hAnsi="黑体" w:eastAsia="黑体" w:cs="黑体"/>
          <w:snapToGrid w:val="0"/>
          <w:color w:val="000000"/>
          <w:kern w:val="0"/>
          <w:sz w:val="12"/>
          <w:szCs w:val="12"/>
          <w:lang w:val="en-US" w:eastAsia="en-US" w:bidi="ar-SA"/>
        </w:rPr>
        <w:t>Altura de instalación: mantenga el equipo a 1.4 metros del suelo para facilitar su operación.</w:t>
      </w:r>
    </w:p>
    <w:p w14:paraId="6E380506">
      <w:pPr>
        <w:pStyle w:val="2"/>
        <w:spacing w:before="155" w:line="221"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forma de instalación:</w:t>
      </w:r>
    </w:p>
    <w:p w14:paraId="0AB17FFD">
      <w:pPr>
        <w:pStyle w:val="2"/>
        <w:spacing w:before="88" w:line="222" w:lineRule="auto"/>
        <w:rPr>
          <w:rFonts w:hint="default"/>
          <w:lang w:val="en-US"/>
        </w:rPr>
      </w:pPr>
      <w:r>
        <w:rPr>
          <w:rFonts w:ascii="Times New Roman" w:hAnsi="黑体" w:eastAsia="黑体" w:cs="黑体"/>
          <w:snapToGrid w:val="0"/>
          <w:color w:val="000000"/>
          <w:spacing w:val="4"/>
          <w:kern w:val="0"/>
          <w:sz w:val="12"/>
          <w:szCs w:val="12"/>
          <w:lang w:val="en-US" w:eastAsia="en-US" w:bidi="ar-SA"/>
        </w:rPr>
        <w:t>A. Taladre dos orificios de fijación en la pared con una distancia horizontal de 180mm y un diámetro de 6mm.</w:t>
      </w:r>
    </w:p>
    <w:p w14:paraId="4D860FD1">
      <w:pPr>
        <w:pStyle w:val="2"/>
        <w:spacing w:before="85" w:line="219" w:lineRule="auto"/>
        <w:rPr>
          <w:rFonts w:hint="default"/>
          <w:lang w:val="en-US"/>
        </w:rPr>
      </w:pPr>
      <w:r>
        <w:rPr>
          <w:rFonts w:ascii="Times New Roman" w:hAnsi="黑体" w:eastAsia="黑体" w:cs="黑体"/>
          <w:snapToGrid w:val="0"/>
          <w:color w:val="000000"/>
          <w:spacing w:val="3"/>
          <w:kern w:val="0"/>
          <w:sz w:val="12"/>
          <w:szCs w:val="12"/>
          <w:lang w:val="en-US" w:eastAsia="en-US" w:bidi="ar-SA"/>
        </w:rPr>
        <w:t>B. Fije la placa de montaje a la pared con un taco de expansión de plástico φ6.</w:t>
      </w:r>
    </w:p>
    <w:p w14:paraId="6B5F4BF6">
      <w:pPr>
        <w:pStyle w:val="2"/>
        <w:spacing w:before="78"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C. Cuelgue el gancho de montaje situado en la parte posterior del controlador en la placa de instalación.</w:t>
      </w:r>
    </w:p>
    <w:p w14:paraId="28628F32">
      <w:pPr>
        <w:spacing w:line="70" w:lineRule="exact"/>
      </w:pPr>
    </w:p>
    <w:p w14:paraId="3FA4FE32">
      <w:pPr>
        <w:spacing w:line="70" w:lineRule="exact"/>
        <w:sectPr>
          <w:footerReference r:id="rId8" w:type="default"/>
          <w:pgSz w:w="6030" w:h="8300"/>
          <w:pgMar w:top="699" w:right="709" w:bottom="553" w:left="719" w:header="0" w:footer="445" w:gutter="0"/>
          <w:cols w:equalWidth="0" w:num="1">
            <w:col w:w="4601"/>
          </w:cols>
        </w:sectPr>
      </w:pPr>
    </w:p>
    <w:p w14:paraId="462498AA">
      <w:pPr>
        <w:pStyle w:val="2"/>
        <w:spacing w:before="24" w:line="283" w:lineRule="auto"/>
        <w:ind w:right="905" w:firstLine="1"/>
        <w:rPr>
          <w:rFonts w:hint="default" w:ascii="Arial" w:hAnsi="Arial" w:eastAsia="Arial" w:cs="Arial"/>
          <w:lang w:val="en-US"/>
        </w:rPr>
      </w:pPr>
      <w:r>
        <w:rPr>
          <w:rFonts w:ascii="Times New Roman" w:hAnsi="Arial" w:eastAsia="Arial" w:cs="Arial"/>
          <w:b/>
          <w:bCs/>
          <w:snapToGrid w:val="0"/>
          <w:color w:val="000000"/>
          <w:spacing w:val="-1"/>
          <w:kern w:val="0"/>
          <w:sz w:val="12"/>
          <w:szCs w:val="12"/>
          <w:lang w:val="en-US" w:eastAsia="en-US" w:bidi="ar-SA"/>
        </w:rPr>
        <w:t>4.5 Bornes de cableado del controlador 4.5.1 GDB9</w:t>
      </w:r>
    </w:p>
    <w:p w14:paraId="6BE5E5F0">
      <w:pPr>
        <w:spacing w:before="52" w:line="1220" w:lineRule="exact"/>
        <w:ind w:firstLine="40"/>
      </w:pPr>
      <w:r>
        <w:rPr>
          <w:position w:val="-24"/>
        </w:rPr>
        <w:drawing>
          <wp:inline distT="0" distB="0" distL="0" distR="0">
            <wp:extent cx="1237615" cy="7747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2"/>
                    <a:stretch>
                      <a:fillRect/>
                    </a:stretch>
                  </pic:blipFill>
                  <pic:spPr>
                    <a:xfrm>
                      <a:off x="0" y="0"/>
                      <a:ext cx="1238238" cy="774710"/>
                    </a:xfrm>
                    <a:prstGeom prst="rect">
                      <a:avLst/>
                    </a:prstGeom>
                  </pic:spPr>
                </pic:pic>
              </a:graphicData>
            </a:graphic>
          </wp:inline>
        </w:drawing>
      </w:r>
    </w:p>
    <w:p w14:paraId="533995B0">
      <w:pPr>
        <w:pStyle w:val="2"/>
        <w:spacing w:before="55" w:line="187" w:lineRule="auto"/>
        <w:ind w:left="849"/>
        <w:rPr>
          <w:rFonts w:hint="default"/>
          <w:lang w:val="en-US"/>
        </w:rPr>
      </w:pPr>
      <w:r>
        <w:rPr>
          <w:rFonts w:ascii="Times New Roman" w:hAnsi="黑体" w:eastAsia="黑体" w:cs="黑体"/>
          <w:snapToGrid w:val="0"/>
          <w:color w:val="000000"/>
          <w:spacing w:val="6"/>
          <w:kern w:val="0"/>
          <w:sz w:val="12"/>
          <w:szCs w:val="12"/>
          <w:lang w:val="en-US" w:eastAsia="en-US" w:bidi="ar-SA"/>
        </w:rPr>
        <w:t>gráfico 4-1</w:t>
      </w:r>
    </w:p>
    <w:p w14:paraId="5C7774E4">
      <w:pPr>
        <w:spacing w:line="14" w:lineRule="auto"/>
        <w:rPr>
          <w:rFonts w:ascii="Arial"/>
          <w:sz w:val="2"/>
        </w:rPr>
      </w:pPr>
      <w:r>
        <w:rPr>
          <w:rFonts w:ascii="Arial" w:hAnsi="Arial" w:eastAsia="Arial" w:cs="Arial"/>
          <w:sz w:val="2"/>
          <w:szCs w:val="2"/>
        </w:rPr>
        <w:br w:type="column"/>
      </w:r>
    </w:p>
    <w:p w14:paraId="233B45F4">
      <w:pPr>
        <w:spacing w:line="478" w:lineRule="auto"/>
        <w:rPr>
          <w:rFonts w:ascii="Arial"/>
          <w:sz w:val="21"/>
        </w:rPr>
      </w:pPr>
    </w:p>
    <w:p w14:paraId="380C02C5">
      <w:pPr>
        <w:spacing w:line="1191" w:lineRule="exact"/>
      </w:pPr>
      <w:r>
        <w:rPr>
          <w:position w:val="-23"/>
        </w:rPr>
        <w:drawing>
          <wp:inline distT="0" distB="0" distL="0" distR="0">
            <wp:extent cx="730250" cy="75565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3"/>
                    <a:stretch>
                      <a:fillRect/>
                    </a:stretch>
                  </pic:blipFill>
                  <pic:spPr>
                    <a:xfrm>
                      <a:off x="0" y="0"/>
                      <a:ext cx="730276" cy="755684"/>
                    </a:xfrm>
                    <a:prstGeom prst="rect">
                      <a:avLst/>
                    </a:prstGeom>
                  </pic:spPr>
                </pic:pic>
              </a:graphicData>
            </a:graphic>
          </wp:inline>
        </w:drawing>
      </w:r>
    </w:p>
    <w:p w14:paraId="7AE48E5B">
      <w:pPr>
        <w:pStyle w:val="2"/>
        <w:spacing w:before="24" w:line="187" w:lineRule="auto"/>
        <w:ind w:left="410"/>
        <w:rPr>
          <w:rFonts w:hint="default"/>
          <w:lang w:val="en-US"/>
        </w:rPr>
      </w:pPr>
      <w:r>
        <w:rPr>
          <w:rFonts w:ascii="Times New Roman" w:hAnsi="黑体" w:eastAsia="黑体" w:cs="黑体"/>
          <w:snapToGrid w:val="0"/>
          <w:color w:val="000000"/>
          <w:spacing w:val="4"/>
          <w:kern w:val="0"/>
          <w:sz w:val="12"/>
          <w:szCs w:val="12"/>
          <w:lang w:val="en-US" w:eastAsia="en-US" w:bidi="ar-SA"/>
        </w:rPr>
        <w:t>gráfico 4-2</w:t>
      </w:r>
    </w:p>
    <w:p w14:paraId="7C93A5C0">
      <w:pPr>
        <w:spacing w:line="14" w:lineRule="auto"/>
        <w:rPr>
          <w:rFonts w:ascii="Arial"/>
          <w:sz w:val="2"/>
        </w:rPr>
      </w:pPr>
      <w:r>
        <w:rPr>
          <w:rFonts w:ascii="Arial" w:hAnsi="Arial" w:eastAsia="Arial" w:cs="Arial"/>
          <w:sz w:val="2"/>
          <w:szCs w:val="2"/>
        </w:rPr>
        <w:br w:type="column"/>
      </w:r>
    </w:p>
    <w:p w14:paraId="2F2DA81F">
      <w:pPr>
        <w:spacing w:line="244" w:lineRule="auto"/>
        <w:rPr>
          <w:rFonts w:ascii="Arial"/>
          <w:sz w:val="21"/>
        </w:rPr>
      </w:pPr>
    </w:p>
    <w:p w14:paraId="0BEF251F">
      <w:pPr>
        <w:spacing w:line="244" w:lineRule="auto"/>
        <w:rPr>
          <w:rFonts w:ascii="Arial"/>
          <w:sz w:val="21"/>
        </w:rPr>
      </w:pPr>
    </w:p>
    <w:p w14:paraId="389DADC9">
      <w:pPr>
        <w:spacing w:line="1190" w:lineRule="exact"/>
      </w:pPr>
      <w:r>
        <w:rPr>
          <w:position w:val="-23"/>
        </w:rPr>
        <w:drawing>
          <wp:inline distT="0" distB="0" distL="0" distR="0">
            <wp:extent cx="850900" cy="7550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4"/>
                    <a:stretch>
                      <a:fillRect/>
                    </a:stretch>
                  </pic:blipFill>
                  <pic:spPr>
                    <a:xfrm>
                      <a:off x="0" y="0"/>
                      <a:ext cx="850930" cy="755631"/>
                    </a:xfrm>
                    <a:prstGeom prst="rect">
                      <a:avLst/>
                    </a:prstGeom>
                  </pic:spPr>
                </pic:pic>
              </a:graphicData>
            </a:graphic>
          </wp:inline>
        </w:drawing>
      </w:r>
    </w:p>
    <w:p w14:paraId="2C43C822">
      <w:pPr>
        <w:pStyle w:val="2"/>
        <w:spacing w:before="15" w:line="187" w:lineRule="auto"/>
        <w:ind w:left="500"/>
        <w:rPr>
          <w:rFonts w:hint="default"/>
          <w:lang w:val="en-US"/>
        </w:rPr>
      </w:pPr>
      <w:r>
        <w:rPr>
          <w:rFonts w:ascii="Times New Roman" w:hAnsi="黑体" w:eastAsia="黑体" w:cs="黑体"/>
          <w:snapToGrid w:val="0"/>
          <w:color w:val="000000"/>
          <w:spacing w:val="4"/>
          <w:kern w:val="0"/>
          <w:sz w:val="12"/>
          <w:szCs w:val="12"/>
          <w:lang w:val="en-US" w:eastAsia="en-US" w:bidi="ar-SA"/>
        </w:rPr>
        <w:t>gráfico 4-3</w:t>
      </w:r>
    </w:p>
    <w:p w14:paraId="61E4065C">
      <w:pPr>
        <w:spacing w:line="187" w:lineRule="auto"/>
        <w:sectPr>
          <w:type w:val="continuous"/>
          <w:pgSz w:w="6030" w:h="8300"/>
          <w:pgMar w:top="699" w:right="709" w:bottom="553" w:left="719" w:header="0" w:footer="445" w:gutter="0"/>
          <w:cols w:equalWidth="0" w:num="3">
            <w:col w:w="1991" w:space="29"/>
            <w:col w:w="1151" w:space="89"/>
            <w:col w:w="1341"/>
          </w:cols>
        </w:sectPr>
      </w:pPr>
    </w:p>
    <w:p w14:paraId="5F1E7852">
      <w:pPr>
        <w:pStyle w:val="2"/>
        <w:spacing w:before="32" w:line="373" w:lineRule="auto"/>
        <w:ind w:right="32" w:firstLine="279"/>
        <w:jc w:val="both"/>
        <w:rPr>
          <w:rFonts w:hint="default"/>
          <w:lang w:val="en-US"/>
        </w:rPr>
      </w:pPr>
      <w:bookmarkStart w:id="3" w:name="bookmark10"/>
      <w:bookmarkEnd w:id="3"/>
      <w:r>
        <w:rPr>
          <w:rFonts w:ascii="Times New Roman" w:hAnsi="黑体" w:eastAsia="黑体" w:cs="黑体"/>
          <w:snapToGrid w:val="0"/>
          <w:color w:val="000000"/>
          <w:spacing w:val="4"/>
          <w:kern w:val="0"/>
          <w:sz w:val="12"/>
          <w:szCs w:val="12"/>
          <w:lang w:val="en-US" w:eastAsia="en-US" w:bidi="ar-SA"/>
        </w:rPr>
        <w:t>La figura 4-1 muestra las conexiones de los bornes del detector. El controlador dispone de 32 canales, y cada detector corresponde a un canal del equipo maestro. Los bornes del controlador incluyen tres puntos de conexión: borne positivo VCC, borne negativo GND y borne de señal SIN. Estos deben conectarse a los bornes del detector: borne positivo, borne negativo y borne de señal.</w:t>
      </w:r>
    </w:p>
    <w:p w14:paraId="704BE0E7">
      <w:pPr>
        <w:pStyle w:val="2"/>
        <w:spacing w:before="1" w:line="213" w:lineRule="auto"/>
        <w:ind w:left="281"/>
        <w:rPr>
          <w:rFonts w:hint="default"/>
          <w:lang w:val="en-US"/>
        </w:rPr>
      </w:pPr>
      <w:r>
        <w:rPr>
          <w:rFonts w:ascii="Times New Roman" w:hAnsi="黑体" w:eastAsia="黑体" w:cs="黑体"/>
          <w:b/>
          <w:bCs/>
          <w:snapToGrid w:val="0"/>
          <w:color w:val="000000"/>
          <w:spacing w:val="4"/>
          <w:kern w:val="0"/>
          <w:sz w:val="12"/>
          <w:szCs w:val="12"/>
          <w:lang w:val="en-US" w:eastAsia="en-US" w:bidi="ar-SA"/>
        </w:rPr>
        <w:t>Nota: no conecte los cables de forma invertida ni con conexiones deficientes, ya que esto puede provocar un fallo del circuito.</w:t>
      </w:r>
    </w:p>
    <w:p w14:paraId="72575D76">
      <w:pPr>
        <w:pStyle w:val="2"/>
        <w:spacing w:before="133" w:line="213" w:lineRule="auto"/>
        <w:ind w:left="279"/>
        <w:rPr>
          <w:rFonts w:hint="default"/>
          <w:lang w:val="en-US"/>
        </w:rPr>
      </w:pPr>
      <w:r>
        <w:rPr>
          <w:rFonts w:ascii="Times New Roman" w:hAnsi="黑体" w:eastAsia="黑体" w:cs="黑体"/>
          <w:snapToGrid w:val="0"/>
          <w:color w:val="000000"/>
          <w:spacing w:val="2"/>
          <w:kern w:val="0"/>
          <w:sz w:val="12"/>
          <w:szCs w:val="12"/>
          <w:lang w:val="en-US" w:eastAsia="en-US" w:bidi="ar-SA"/>
        </w:rPr>
        <w:t>La figura 4-2 muestra el cableado de los bornes de alimentación del controlador a AC220V, donde L designa el conductor de fase, N el conductor neutro y E el conductor de tierra.</w:t>
      </w:r>
    </w:p>
    <w:p w14:paraId="3ECC2B14">
      <w:pPr>
        <w:pStyle w:val="2"/>
        <w:spacing w:before="90" w:line="347" w:lineRule="auto"/>
        <w:ind w:right="17" w:firstLine="279"/>
        <w:rPr>
          <w:rFonts w:hint="default"/>
          <w:lang w:val="en-US"/>
        </w:rPr>
      </w:pPr>
      <w:r>
        <w:rPr>
          <w:rFonts w:ascii="Times New Roman" w:hAnsi="黑体" w:eastAsia="黑体" w:cs="黑体"/>
          <w:snapToGrid w:val="0"/>
          <w:color w:val="000000"/>
          <w:spacing w:val="5"/>
          <w:kern w:val="0"/>
          <w:sz w:val="12"/>
          <w:szCs w:val="12"/>
          <w:lang w:val="en-US" w:eastAsia="en-US" w:bidi="ar-SA"/>
        </w:rPr>
        <w:t>La figura 4-3 ilustra los bornes de salida de señal de interruptor pasivo del relé del controlador, que comprenden seis grupos. Las condiciones de activación se pueden configurar en el menú del controlador según los requisitos del usuario. "K1" designa el relé n.º 1, y los números siguientes siguen la misma convención de nomenclatura. Los relés admiten cuatro modos de funcionamiento: salida de nivel bajo, salida de nivel alto, salida de fallo y salida de alarma. El modo de funcionamiento de cada relé se configura a través de los ajustes de modo de relé del menú principal. Los relés pueden funcionar en modos zonificados para controlar rangos de intervalo específicos.</w:t>
      </w:r>
    </w:p>
    <w:p w14:paraId="0F84026B">
      <w:pPr>
        <w:spacing w:line="347" w:lineRule="auto"/>
        <w:sectPr>
          <w:footerReference r:id="rId9" w:type="default"/>
          <w:pgSz w:w="6030" w:h="8300"/>
          <w:pgMar w:top="705" w:right="666" w:bottom="563" w:left="690" w:header="0" w:footer="455" w:gutter="0"/>
          <w:cols w:equalWidth="0" w:num="1">
            <w:col w:w="4674"/>
          </w:cols>
        </w:sectPr>
      </w:pPr>
    </w:p>
    <w:p w14:paraId="65095B4B">
      <w:pPr>
        <w:pStyle w:val="2"/>
        <w:spacing w:before="24" w:line="222" w:lineRule="auto"/>
        <w:rPr>
          <w:rFonts w:hint="default"/>
          <w:lang w:val="en-US"/>
        </w:rPr>
      </w:pPr>
      <w:r>
        <w:rPr>
          <w:rFonts w:ascii="Times New Roman" w:hAnsi="黑体" w:eastAsia="黑体" w:cs="黑体"/>
          <w:snapToGrid w:val="0"/>
          <w:color w:val="000000"/>
          <w:spacing w:val="4"/>
          <w:kern w:val="0"/>
          <w:sz w:val="12"/>
          <w:szCs w:val="12"/>
          <w:lang w:val="en-US" w:eastAsia="en-US" w:bidi="ar-SA"/>
        </w:rPr>
        <w:t>Salida de estado interno.</w:t>
      </w:r>
    </w:p>
    <w:p w14:paraId="7B1E380D">
      <w:pPr>
        <w:spacing w:before="51" w:line="1080" w:lineRule="exact"/>
        <w:ind w:firstLine="39"/>
      </w:pPr>
      <w:r>
        <w:rPr>
          <w:position w:val="-21"/>
        </w:rPr>
        <w:drawing>
          <wp:inline distT="0" distB="0" distL="0" distR="0">
            <wp:extent cx="894715" cy="68516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5"/>
                    <a:stretch>
                      <a:fillRect/>
                    </a:stretch>
                  </pic:blipFill>
                  <pic:spPr>
                    <a:xfrm>
                      <a:off x="0" y="0"/>
                      <a:ext cx="895346" cy="685797"/>
                    </a:xfrm>
                    <a:prstGeom prst="rect">
                      <a:avLst/>
                    </a:prstGeom>
                  </pic:spPr>
                </pic:pic>
              </a:graphicData>
            </a:graphic>
          </wp:inline>
        </w:drawing>
      </w:r>
    </w:p>
    <w:p w14:paraId="61FEEC1B">
      <w:pPr>
        <w:pStyle w:val="2"/>
        <w:spacing w:before="155" w:line="222" w:lineRule="auto"/>
        <w:ind w:left="589"/>
        <w:rPr>
          <w:rFonts w:hint="default"/>
          <w:lang w:val="en-US"/>
        </w:rPr>
      </w:pPr>
      <w:r>
        <w:rPr>
          <w:rFonts w:ascii="Times New Roman" w:hAnsi="黑体" w:eastAsia="黑体" w:cs="黑体"/>
          <w:snapToGrid w:val="0"/>
          <w:color w:val="000000"/>
          <w:spacing w:val="-3"/>
          <w:kern w:val="0"/>
          <w:sz w:val="12"/>
          <w:szCs w:val="12"/>
          <w:lang w:val="en-US" w:eastAsia="en-US" w:bidi="ar-SA"/>
        </w:rPr>
        <w:t>gráfico 4-4</w:t>
      </w:r>
    </w:p>
    <w:p w14:paraId="3A1BAAB2">
      <w:pPr>
        <w:spacing w:line="25" w:lineRule="auto"/>
        <w:rPr>
          <w:rFonts w:ascii="Arial"/>
          <w:sz w:val="2"/>
        </w:rPr>
      </w:pPr>
    </w:p>
    <w:p w14:paraId="775EB332">
      <w:pPr>
        <w:spacing w:line="14" w:lineRule="auto"/>
        <w:rPr>
          <w:rFonts w:ascii="Arial"/>
          <w:sz w:val="2"/>
        </w:rPr>
      </w:pPr>
      <w:r>
        <w:rPr>
          <w:rFonts w:ascii="Arial" w:hAnsi="Arial" w:eastAsia="Arial" w:cs="Arial"/>
          <w:sz w:val="2"/>
          <w:szCs w:val="2"/>
        </w:rPr>
        <w:br w:type="column"/>
      </w:r>
    </w:p>
    <w:p w14:paraId="04762E92">
      <w:pPr>
        <w:spacing w:line="256" w:lineRule="auto"/>
        <w:rPr>
          <w:rFonts w:ascii="Arial"/>
          <w:sz w:val="21"/>
        </w:rPr>
      </w:pPr>
    </w:p>
    <w:p w14:paraId="6838B72C">
      <w:pPr>
        <w:spacing w:before="1" w:line="1050" w:lineRule="exact"/>
      </w:pPr>
      <w:r>
        <w:rPr>
          <w:position w:val="-20"/>
        </w:rPr>
        <w:drawing>
          <wp:inline distT="0" distB="0" distL="0" distR="0">
            <wp:extent cx="1295400" cy="6661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6"/>
                    <a:stretch>
                      <a:fillRect/>
                    </a:stretch>
                  </pic:blipFill>
                  <pic:spPr>
                    <a:xfrm>
                      <a:off x="0" y="0"/>
                      <a:ext cx="1295405" cy="666718"/>
                    </a:xfrm>
                    <a:prstGeom prst="rect">
                      <a:avLst/>
                    </a:prstGeom>
                  </pic:spPr>
                </pic:pic>
              </a:graphicData>
            </a:graphic>
          </wp:inline>
        </w:drawing>
      </w:r>
    </w:p>
    <w:p w14:paraId="48572EEE">
      <w:pPr>
        <w:pStyle w:val="2"/>
        <w:spacing w:before="105" w:line="222" w:lineRule="auto"/>
        <w:ind w:left="859"/>
        <w:rPr>
          <w:rFonts w:hint="default"/>
          <w:lang w:val="en-US"/>
        </w:rPr>
      </w:pPr>
      <w:r>
        <w:rPr>
          <w:rFonts w:ascii="Times New Roman" w:hAnsi="黑体" w:eastAsia="黑体" w:cs="黑体"/>
          <w:snapToGrid w:val="0"/>
          <w:color w:val="000000"/>
          <w:spacing w:val="4"/>
          <w:kern w:val="0"/>
          <w:sz w:val="12"/>
          <w:szCs w:val="12"/>
          <w:lang w:val="en-US" w:eastAsia="en-US" w:bidi="ar-SA"/>
        </w:rPr>
        <w:t>gráfico 4-5</w:t>
      </w:r>
    </w:p>
    <w:p w14:paraId="673C7AF0">
      <w:pPr>
        <w:spacing w:line="14" w:lineRule="auto"/>
        <w:rPr>
          <w:rFonts w:ascii="Arial"/>
          <w:sz w:val="2"/>
        </w:rPr>
      </w:pPr>
      <w:r>
        <w:rPr>
          <w:rFonts w:ascii="Arial" w:hAnsi="Arial" w:eastAsia="Arial" w:cs="Arial"/>
          <w:sz w:val="2"/>
          <w:szCs w:val="2"/>
        </w:rPr>
        <w:br w:type="column"/>
      </w:r>
    </w:p>
    <w:p w14:paraId="49B15CB6">
      <w:pPr>
        <w:spacing w:before="228" w:line="1110" w:lineRule="exact"/>
      </w:pPr>
      <w:r>
        <w:rPr>
          <w:position w:val="-22"/>
        </w:rPr>
        <w:drawing>
          <wp:inline distT="0" distB="0" distL="0" distR="0">
            <wp:extent cx="457200" cy="70485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7"/>
                    <a:stretch>
                      <a:fillRect/>
                    </a:stretch>
                  </pic:blipFill>
                  <pic:spPr>
                    <a:xfrm>
                      <a:off x="0" y="0"/>
                      <a:ext cx="457226" cy="704876"/>
                    </a:xfrm>
                    <a:prstGeom prst="rect">
                      <a:avLst/>
                    </a:prstGeom>
                  </pic:spPr>
                </pic:pic>
              </a:graphicData>
            </a:graphic>
          </wp:inline>
        </w:drawing>
      </w:r>
    </w:p>
    <w:p w14:paraId="4CF726EC">
      <w:pPr>
        <w:pStyle w:val="2"/>
        <w:spacing w:before="85" w:line="222" w:lineRule="auto"/>
        <w:ind w:left="210"/>
        <w:rPr>
          <w:rFonts w:hint="default"/>
          <w:lang w:val="en-US"/>
        </w:rPr>
      </w:pPr>
      <w:r>
        <w:rPr>
          <w:rFonts w:ascii="Times New Roman" w:hAnsi="黑体" w:eastAsia="黑体" w:cs="黑体"/>
          <w:snapToGrid w:val="0"/>
          <w:color w:val="000000"/>
          <w:spacing w:val="3"/>
          <w:kern w:val="0"/>
          <w:sz w:val="12"/>
          <w:szCs w:val="12"/>
          <w:lang w:val="en-US" w:eastAsia="en-US" w:bidi="ar-SA"/>
        </w:rPr>
        <w:t>gráfico 4-6</w:t>
      </w:r>
    </w:p>
    <w:p w14:paraId="49D74780">
      <w:pPr>
        <w:spacing w:line="222" w:lineRule="auto"/>
        <w:sectPr>
          <w:type w:val="continuous"/>
          <w:pgSz w:w="6030" w:h="8300"/>
          <w:pgMar w:top="705" w:right="666" w:bottom="563" w:left="690" w:header="0" w:footer="455" w:gutter="0"/>
          <w:cols w:equalWidth="0" w:num="3">
            <w:col w:w="1470" w:space="100"/>
            <w:col w:w="2170" w:space="100"/>
            <w:col w:w="834"/>
          </w:cols>
        </w:sectPr>
      </w:pPr>
    </w:p>
    <w:p w14:paraId="2CAFC657">
      <w:pPr>
        <w:pStyle w:val="2"/>
        <w:spacing w:before="142" w:line="341" w:lineRule="auto"/>
        <w:ind w:right="1" w:firstLine="279"/>
        <w:jc w:val="both"/>
        <w:rPr>
          <w:rFonts w:hint="default"/>
          <w:lang w:val="en-US"/>
        </w:rPr>
      </w:pPr>
      <w:r>
        <w:rPr>
          <w:rFonts w:ascii="Times New Roman" w:hAnsi="黑体" w:eastAsia="黑体" w:cs="黑体"/>
          <w:snapToGrid w:val="0"/>
          <w:color w:val="000000"/>
          <w:spacing w:val="12"/>
          <w:kern w:val="0"/>
          <w:sz w:val="12"/>
          <w:szCs w:val="12"/>
          <w:lang w:val="en-US" w:eastAsia="en-US" w:bidi="ar-SA"/>
        </w:rPr>
        <w:t>La figura 4-4 ilustra los bornes de cableado de carga del controlador a la plataforma IoT 4G (transmisión de todos los datos de detección). "A" representa una señal 485, y "B" representa otra señal 485 (la secuencia de cableado debe mantenerse coherente para evitar fallos del equipo). (Función opcional)</w:t>
      </w:r>
    </w:p>
    <w:p w14:paraId="3F147A89">
      <w:pPr>
        <w:pStyle w:val="2"/>
        <w:spacing w:before="1" w:line="333" w:lineRule="auto"/>
        <w:ind w:firstLine="279"/>
        <w:rPr>
          <w:rFonts w:hint="default"/>
          <w:lang w:val="en-US"/>
        </w:rPr>
      </w:pPr>
      <w:r>
        <w:rPr>
          <w:rFonts w:ascii="Times New Roman" w:hAnsi="黑体" w:eastAsia="黑体" w:cs="黑体"/>
          <w:snapToGrid w:val="0"/>
          <w:color w:val="000000"/>
          <w:spacing w:val="7"/>
          <w:kern w:val="0"/>
          <w:sz w:val="12"/>
          <w:szCs w:val="12"/>
          <w:lang w:val="en-US" w:eastAsia="en-US" w:bidi="ar-SA"/>
        </w:rPr>
        <w:t>La figura 4-5 muestra los bornes de cableado de carga 485 del controlador, con dos grupos de interfaz disponibles para cargar únicamente la información de concentración de gas. Se puede conectar a dispositivos de visualización gráfica, ordenadores y otros equipos. "A" representa la señal 485, y "B" representa la señal 485 (la secuencia de cableado debe mantenerse coherente para evitar fallos del equipo).</w:t>
      </w:r>
    </w:p>
    <w:p w14:paraId="41F9690A">
      <w:pPr>
        <w:pStyle w:val="2"/>
        <w:spacing w:before="1" w:line="212" w:lineRule="auto"/>
        <w:ind w:left="279"/>
        <w:rPr>
          <w:rFonts w:hint="default"/>
          <w:lang w:val="en-US"/>
        </w:rPr>
      </w:pPr>
      <w:r>
        <w:rPr>
          <w:rFonts w:ascii="Times New Roman" w:hAnsi="黑体" w:eastAsia="黑体" w:cs="黑体"/>
          <w:snapToGrid w:val="0"/>
          <w:color w:val="000000"/>
          <w:spacing w:val="7"/>
          <w:kern w:val="0"/>
          <w:sz w:val="12"/>
          <w:szCs w:val="12"/>
          <w:lang w:val="en-US" w:eastAsia="en-US" w:bidi="ar-SA"/>
        </w:rPr>
        <w:t>La figura 4-6 muestra un conjunto de interfaces Ethernet para cargar datos de IoT (función opcional).</w:t>
      </w:r>
    </w:p>
    <w:p w14:paraId="00AF4096">
      <w:pPr>
        <w:spacing w:before="148" w:line="189" w:lineRule="auto"/>
        <w:rPr>
          <w:rFonts w:hint="default" w:ascii="Times New Roman" w:hAnsi="Times New Roman" w:eastAsia="Times New Roman" w:cs="Times New Roman"/>
          <w:sz w:val="12"/>
          <w:szCs w:val="12"/>
          <w:lang w:val="en-US"/>
        </w:rPr>
      </w:pPr>
      <w:r>
        <w:rPr>
          <w:rFonts w:ascii="Times New Roman" w:hAnsi="Times New Roman" w:eastAsia="Times New Roman" w:cs="Times New Roman"/>
          <w:b/>
          <w:bCs/>
          <w:snapToGrid w:val="0"/>
          <w:color w:val="000000"/>
          <w:spacing w:val="-1"/>
          <w:kern w:val="0"/>
          <w:sz w:val="12"/>
          <w:szCs w:val="12"/>
          <w:lang w:val="en-US" w:eastAsia="en-US" w:bidi="ar-SA"/>
        </w:rPr>
        <w:t>4.5.2 GDB10</w:t>
      </w:r>
    </w:p>
    <w:p w14:paraId="3D018C7A">
      <w:pPr>
        <w:spacing w:before="116" w:line="900" w:lineRule="exact"/>
        <w:ind w:firstLine="29"/>
      </w:pPr>
      <w:r>
        <w:rPr>
          <w:position w:val="-18"/>
        </w:rPr>
        <w:drawing>
          <wp:inline distT="0" distB="0" distL="0" distR="0">
            <wp:extent cx="2914650" cy="5715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8"/>
                    <a:stretch>
                      <a:fillRect/>
                    </a:stretch>
                  </pic:blipFill>
                  <pic:spPr>
                    <a:xfrm>
                      <a:off x="0" y="0"/>
                      <a:ext cx="2914672" cy="571533"/>
                    </a:xfrm>
                    <a:prstGeom prst="rect">
                      <a:avLst/>
                    </a:prstGeom>
                  </pic:spPr>
                </pic:pic>
              </a:graphicData>
            </a:graphic>
          </wp:inline>
        </w:drawing>
      </w:r>
    </w:p>
    <w:p w14:paraId="5C77CE20">
      <w:pPr>
        <w:pStyle w:val="2"/>
        <w:spacing w:before="85" w:line="187" w:lineRule="auto"/>
        <w:ind w:left="2160"/>
        <w:rPr>
          <w:rFonts w:hint="default"/>
          <w:lang w:val="en-US"/>
        </w:rPr>
      </w:pPr>
      <w:r>
        <w:rPr>
          <w:rFonts w:ascii="Times New Roman" w:hAnsi="黑体" w:eastAsia="黑体" w:cs="黑体"/>
          <w:snapToGrid w:val="0"/>
          <w:color w:val="000000"/>
          <w:spacing w:val="3"/>
          <w:kern w:val="0"/>
          <w:sz w:val="12"/>
          <w:szCs w:val="12"/>
          <w:lang w:val="en-US" w:eastAsia="en-US" w:bidi="ar-SA"/>
        </w:rPr>
        <w:t>gráfico 4-7</w:t>
      </w:r>
    </w:p>
    <w:p w14:paraId="5A8B5CC1">
      <w:pPr>
        <w:spacing w:line="187" w:lineRule="auto"/>
        <w:sectPr>
          <w:type w:val="continuous"/>
          <w:pgSz w:w="6030" w:h="8300"/>
          <w:pgMar w:top="705" w:right="666" w:bottom="563" w:left="690" w:header="0" w:footer="455" w:gutter="0"/>
          <w:cols w:equalWidth="0" w:num="1">
            <w:col w:w="4674"/>
          </w:cols>
        </w:sectPr>
      </w:pPr>
    </w:p>
    <w:p w14:paraId="2290E590">
      <w:pPr>
        <w:pStyle w:val="2"/>
        <w:spacing w:before="24" w:line="341" w:lineRule="auto"/>
        <w:ind w:left="391" w:firstLine="190"/>
        <w:rPr>
          <w:rFonts w:hint="default"/>
          <w:lang w:val="en-US"/>
        </w:rPr>
      </w:pPr>
      <w:r>
        <w:rPr>
          <w:rFonts w:ascii="Times New Roman" w:hAnsi="黑体" w:eastAsia="黑体" w:cs="黑体"/>
          <w:snapToGrid w:val="0"/>
          <w:color w:val="000000"/>
          <w:spacing w:val="3"/>
          <w:kern w:val="0"/>
          <w:sz w:val="12"/>
          <w:szCs w:val="12"/>
          <w:lang w:val="en-US" w:eastAsia="en-US" w:bidi="ar-SA"/>
        </w:rPr>
        <w:t>El controlador dispone de cinco circuitos, cada uno capaz de conectar varios detectores. La figura 4-7 ilustra los bornes de cableado entre el controlador y los detectores. El borne "+" representa el borne positivo del controlador, el borne "-" representa el borne negativo, "A" designa la señal 485 y "B" también indica la señal 485 (la secuencia de cableado del controlador debe mantenerse coherente para evitar fallos). Los cuatro puntos de conexión —el borne positivo "+" y el borne negativo "-", junto con los bornes "A" y "B"— deben conectarse directamente a los bornes correspondientes de los detectores: borne positivo "+" y borne negativo "-" de los detectores, y bornes "A" y "B" respectivamente.</w:t>
      </w:r>
    </w:p>
    <w:p w14:paraId="72593123">
      <w:pPr>
        <w:pStyle w:val="2"/>
        <w:spacing w:line="212" w:lineRule="auto"/>
        <w:ind w:left="583"/>
        <w:rPr>
          <w:rFonts w:hint="default"/>
          <w:lang w:val="en-US"/>
        </w:rPr>
      </w:pPr>
      <w:r>
        <w:rPr>
          <w:rFonts w:ascii="Times New Roman" w:hAnsi="黑体" w:eastAsia="黑体" w:cs="黑体"/>
          <w:b/>
          <w:bCs/>
          <w:snapToGrid w:val="0"/>
          <w:color w:val="000000"/>
          <w:spacing w:val="4"/>
          <w:kern w:val="0"/>
          <w:sz w:val="12"/>
          <w:szCs w:val="12"/>
          <w:lang w:val="en-US" w:eastAsia="en-US" w:bidi="ar-SA"/>
        </w:rPr>
        <w:t>Nota: no conecte los cables de forma invertida ni con conexiones deficientes, ya que esto puede provocar un fallo del circuito.</w:t>
      </w:r>
    </w:p>
    <w:p w14:paraId="1CF99C01">
      <w:pPr>
        <w:spacing w:line="104" w:lineRule="exact"/>
      </w:pPr>
    </w:p>
    <w:p w14:paraId="190E3CB7">
      <w:pPr>
        <w:spacing w:line="104" w:lineRule="exact"/>
        <w:sectPr>
          <w:footerReference r:id="rId10" w:type="default"/>
          <w:pgSz w:w="6030" w:h="8300"/>
          <w:pgMar w:top="694" w:right="689" w:bottom="563" w:left="328" w:header="0" w:footer="455" w:gutter="0"/>
          <w:cols w:equalWidth="0" w:num="1">
            <w:col w:w="5012"/>
          </w:cols>
        </w:sectPr>
      </w:pPr>
    </w:p>
    <w:p w14:paraId="07E31E17">
      <w:pPr>
        <w:spacing w:line="1180" w:lineRule="exact"/>
        <w:ind w:firstLine="471"/>
      </w:pPr>
      <w:r>
        <w:rPr>
          <w:position w:val="-23"/>
        </w:rPr>
        <w:drawing>
          <wp:inline distT="0" distB="0" distL="0" distR="0">
            <wp:extent cx="723265" cy="7493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9"/>
                    <a:stretch>
                      <a:fillRect/>
                    </a:stretch>
                  </pic:blipFill>
                  <pic:spPr>
                    <a:xfrm>
                      <a:off x="0" y="0"/>
                      <a:ext cx="723881" cy="749306"/>
                    </a:xfrm>
                    <a:prstGeom prst="rect">
                      <a:avLst/>
                    </a:prstGeom>
                  </pic:spPr>
                </pic:pic>
              </a:graphicData>
            </a:graphic>
          </wp:inline>
        </w:drawing>
      </w:r>
    </w:p>
    <w:p w14:paraId="10FF0533">
      <w:pPr>
        <w:pStyle w:val="2"/>
        <w:spacing w:before="124" w:line="222" w:lineRule="auto"/>
        <w:ind w:left="891"/>
        <w:rPr>
          <w:rFonts w:hint="default"/>
          <w:lang w:val="en-US"/>
        </w:rPr>
      </w:pPr>
      <w:r>
        <w:rPr>
          <w:rFonts w:ascii="Times New Roman" w:hAnsi="黑体" w:eastAsia="黑体" w:cs="黑体"/>
          <w:snapToGrid w:val="0"/>
          <w:color w:val="000000"/>
          <w:spacing w:val="-3"/>
          <w:kern w:val="0"/>
          <w:sz w:val="12"/>
          <w:szCs w:val="12"/>
          <w:lang w:val="en-US" w:eastAsia="en-US" w:bidi="ar-SA"/>
        </w:rPr>
        <w:t>gráfico 4-8</w:t>
      </w:r>
    </w:p>
    <w:p w14:paraId="12358A5B">
      <w:pPr>
        <w:spacing w:line="22" w:lineRule="auto"/>
        <w:rPr>
          <w:rFonts w:ascii="Arial"/>
          <w:sz w:val="2"/>
        </w:rPr>
      </w:pPr>
    </w:p>
    <w:p w14:paraId="4A65BF81">
      <w:pPr>
        <w:spacing w:line="14" w:lineRule="auto"/>
        <w:rPr>
          <w:rFonts w:ascii="Arial"/>
          <w:sz w:val="2"/>
        </w:rPr>
      </w:pPr>
      <w:r>
        <w:rPr>
          <w:rFonts w:ascii="Arial" w:hAnsi="Arial" w:eastAsia="Arial" w:cs="Arial"/>
          <w:sz w:val="2"/>
          <w:szCs w:val="2"/>
        </w:rPr>
        <w:br w:type="column"/>
      </w:r>
    </w:p>
    <w:p w14:paraId="3A7B3F23">
      <w:pPr>
        <w:spacing w:line="1188" w:lineRule="exact"/>
      </w:pPr>
      <w:r>
        <w:rPr>
          <w:position w:val="-23"/>
        </w:rPr>
        <w:drawing>
          <wp:inline distT="0" distB="0" distL="0" distR="0">
            <wp:extent cx="838200" cy="75438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40"/>
                    <a:stretch>
                      <a:fillRect/>
                    </a:stretch>
                  </pic:blipFill>
                  <pic:spPr>
                    <a:xfrm>
                      <a:off x="0" y="0"/>
                      <a:ext cx="838217" cy="754755"/>
                    </a:xfrm>
                    <a:prstGeom prst="rect">
                      <a:avLst/>
                    </a:prstGeom>
                  </pic:spPr>
                </pic:pic>
              </a:graphicData>
            </a:graphic>
          </wp:inline>
        </w:drawing>
      </w:r>
    </w:p>
    <w:p w14:paraId="1A7CDA99">
      <w:pPr>
        <w:pStyle w:val="2"/>
        <w:spacing w:before="115" w:line="222" w:lineRule="auto"/>
        <w:ind w:left="500"/>
        <w:rPr>
          <w:rFonts w:hint="default"/>
          <w:lang w:val="en-US"/>
        </w:rPr>
      </w:pPr>
      <w:r>
        <w:rPr>
          <w:rFonts w:ascii="Times New Roman" w:hAnsi="黑体" w:eastAsia="黑体" w:cs="黑体"/>
          <w:snapToGrid w:val="0"/>
          <w:color w:val="000000"/>
          <w:spacing w:val="4"/>
          <w:kern w:val="0"/>
          <w:sz w:val="12"/>
          <w:szCs w:val="12"/>
          <w:lang w:val="en-US" w:eastAsia="en-US" w:bidi="ar-SA"/>
        </w:rPr>
        <w:t>gráfico 4-9</w:t>
      </w:r>
    </w:p>
    <w:p w14:paraId="558149C1">
      <w:pPr>
        <w:spacing w:line="14" w:lineRule="auto"/>
        <w:rPr>
          <w:rFonts w:ascii="Arial"/>
          <w:sz w:val="2"/>
        </w:rPr>
      </w:pPr>
      <w:r>
        <w:rPr>
          <w:rFonts w:ascii="Arial" w:hAnsi="Arial" w:eastAsia="Arial" w:cs="Arial"/>
          <w:sz w:val="2"/>
          <w:szCs w:val="2"/>
        </w:rPr>
        <w:br w:type="column"/>
      </w:r>
    </w:p>
    <w:p w14:paraId="6D443F8B">
      <w:pPr>
        <w:spacing w:before="8" w:line="1180" w:lineRule="exact"/>
      </w:pPr>
      <w:r>
        <w:rPr>
          <w:position w:val="-23"/>
        </w:rPr>
        <w:drawing>
          <wp:inline distT="0" distB="0" distL="0" distR="0">
            <wp:extent cx="970915" cy="74930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41"/>
                    <a:stretch>
                      <a:fillRect/>
                    </a:stretch>
                  </pic:blipFill>
                  <pic:spPr>
                    <a:xfrm>
                      <a:off x="0" y="0"/>
                      <a:ext cx="971544" cy="749307"/>
                    </a:xfrm>
                    <a:prstGeom prst="rect">
                      <a:avLst/>
                    </a:prstGeom>
                  </pic:spPr>
                </pic:pic>
              </a:graphicData>
            </a:graphic>
          </wp:inline>
        </w:drawing>
      </w:r>
    </w:p>
    <w:p w14:paraId="3DCF726B">
      <w:pPr>
        <w:pStyle w:val="2"/>
        <w:spacing w:before="115" w:line="222" w:lineRule="auto"/>
        <w:ind w:left="570"/>
        <w:rPr>
          <w:rFonts w:hint="default"/>
          <w:lang w:val="en-US"/>
        </w:rPr>
      </w:pPr>
      <w:r>
        <w:rPr>
          <w:rFonts w:ascii="Times New Roman" w:hAnsi="黑体" w:eastAsia="黑体" w:cs="黑体"/>
          <w:snapToGrid w:val="0"/>
          <w:color w:val="000000"/>
          <w:spacing w:val="5"/>
          <w:kern w:val="0"/>
          <w:sz w:val="12"/>
          <w:szCs w:val="12"/>
          <w:lang w:val="en-US" w:eastAsia="en-US" w:bidi="ar-SA"/>
        </w:rPr>
        <w:t>gráfico 4-10</w:t>
      </w:r>
    </w:p>
    <w:p w14:paraId="629B2CF2">
      <w:pPr>
        <w:spacing w:line="222" w:lineRule="auto"/>
        <w:sectPr>
          <w:type w:val="continuous"/>
          <w:pgSz w:w="6030" w:h="8300"/>
          <w:pgMar w:top="694" w:right="689" w:bottom="563" w:left="328" w:header="0" w:footer="455" w:gutter="0"/>
          <w:cols w:equalWidth="0" w:num="3">
            <w:col w:w="1712" w:space="100"/>
            <w:col w:w="1521" w:space="100"/>
            <w:col w:w="1581"/>
          </w:cols>
        </w:sectPr>
      </w:pPr>
    </w:p>
    <w:p w14:paraId="5296DC7A">
      <w:pPr>
        <w:pStyle w:val="2"/>
        <w:spacing w:before="87" w:line="213" w:lineRule="auto"/>
        <w:ind w:left="581"/>
        <w:rPr>
          <w:rFonts w:hint="default"/>
          <w:lang w:val="en-US"/>
        </w:rPr>
      </w:pPr>
      <w:r>
        <w:rPr>
          <w:rFonts w:ascii="Times New Roman" w:hAnsi="黑体" w:eastAsia="黑体" w:cs="黑体"/>
          <w:snapToGrid w:val="0"/>
          <w:color w:val="000000"/>
          <w:spacing w:val="2"/>
          <w:kern w:val="0"/>
          <w:sz w:val="12"/>
          <w:szCs w:val="12"/>
          <w:lang w:val="en-US" w:eastAsia="en-US" w:bidi="ar-SA"/>
        </w:rPr>
        <w:t>La figura 4-8 muestra las conexiones de los bornes de alimentación del controlador a AC220V, donde L designa el conductor de fase, N el conductor neutro y E el conductor de tierra.</w:t>
      </w:r>
    </w:p>
    <w:p w14:paraId="1576B899">
      <w:pPr>
        <w:pStyle w:val="2"/>
        <w:spacing w:before="91" w:line="334" w:lineRule="auto"/>
        <w:ind w:left="391" w:right="13" w:firstLine="190"/>
        <w:rPr>
          <w:rFonts w:hint="default"/>
          <w:lang w:val="en-US"/>
        </w:rPr>
      </w:pPr>
      <w:r>
        <w:rPr>
          <w:rFonts w:ascii="Times New Roman" w:hAnsi="黑体" w:eastAsia="黑体" w:cs="黑体"/>
          <w:snapToGrid w:val="0"/>
          <w:color w:val="000000"/>
          <w:spacing w:val="2"/>
          <w:kern w:val="0"/>
          <w:sz w:val="12"/>
          <w:szCs w:val="12"/>
          <w:lang w:val="en-US" w:eastAsia="en-US" w:bidi="ar-SA"/>
        </w:rPr>
        <w:t>La figura 4-9 muestra los bornes de salida de señal de interruptor pasivo del relé del controlador, que comprenden seis grupos. Las condiciones de activación se pueden configurar en el menú del controlador según los requisitos del usuario. "K1" designa el relé 1, y los relés siguientes siguen la misma convención de nomenclatura. Los relés admiten cuatro modos de funcionamiento: salida de nivel bajo, salida de nivel alto, salida de fallo y salida de alarma. El modo de funcionamiento de cada relé se configura a través de los ajustes de relé del menú principal. Los relés permiten el funcionamiento zonificado para emitir señales de estado dentro de zonas de control designadas.</w:t>
      </w:r>
    </w:p>
    <w:p w14:paraId="18246307">
      <w:pPr>
        <w:pStyle w:val="2"/>
        <w:spacing w:line="336" w:lineRule="auto"/>
        <w:ind w:left="391" w:right="17" w:firstLine="190"/>
        <w:rPr>
          <w:rFonts w:hint="default"/>
          <w:lang w:val="en-US"/>
        </w:rPr>
      </w:pPr>
      <w:r>
        <w:rPr>
          <w:rFonts w:ascii="Times New Roman" w:hAnsi="黑体" w:eastAsia="黑体" w:cs="黑体"/>
          <w:snapToGrid w:val="0"/>
          <w:color w:val="000000"/>
          <w:spacing w:val="8"/>
          <w:kern w:val="0"/>
          <w:sz w:val="12"/>
          <w:szCs w:val="12"/>
          <w:lang w:val="en-US" w:eastAsia="en-US" w:bidi="ar-SA"/>
        </w:rPr>
        <w:t>La figura 4-10 ilustra los bloques de bornes de carga del controlador a la plataforma IoT 4G (transmisión de todos los datos de detección). "A" representa una señal 485, y "B" representa otra señal 485 (la secuencia de cableado debe mantenerse coherente para evitar fallos del equipo). (Opcional)</w:t>
      </w:r>
    </w:p>
    <w:p w14:paraId="4DA1E0D2">
      <w:pPr>
        <w:spacing w:line="336" w:lineRule="auto"/>
        <w:sectPr>
          <w:type w:val="continuous"/>
          <w:pgSz w:w="6030" w:h="8300"/>
          <w:pgMar w:top="694" w:right="689" w:bottom="563" w:left="328" w:header="0" w:footer="455" w:gutter="0"/>
          <w:cols w:equalWidth="0" w:num="1">
            <w:col w:w="5012"/>
          </w:cols>
        </w:sectPr>
      </w:pPr>
    </w:p>
    <w:p w14:paraId="04C86D2C">
      <w:pPr>
        <w:pStyle w:val="2"/>
        <w:spacing w:before="25" w:line="222" w:lineRule="auto"/>
        <w:ind w:left="391"/>
        <w:rPr>
          <w:rFonts w:hint="default"/>
          <w:lang w:val="en-US"/>
        </w:rPr>
      </w:pPr>
      <w:r>
        <w:rPr>
          <w:rFonts w:ascii="Times New Roman" w:hAnsi="黑体" w:eastAsia="黑体" w:cs="黑体"/>
          <w:snapToGrid w:val="0"/>
          <w:color w:val="000000"/>
          <w:spacing w:val="9"/>
          <w:kern w:val="0"/>
          <w:sz w:val="12"/>
          <w:szCs w:val="12"/>
          <w:lang w:val="en-US" w:eastAsia="en-US" w:bidi="ar-SA"/>
        </w:rPr>
        <w:t>función)</w:t>
      </w:r>
    </w:p>
    <w:p w14:paraId="765AC609">
      <w:pPr>
        <w:spacing w:before="3"/>
      </w:pPr>
    </w:p>
    <w:p w14:paraId="23678F79">
      <w:pPr>
        <w:spacing w:before="3"/>
      </w:pPr>
    </w:p>
    <w:p w14:paraId="4134F6C9">
      <w:pPr>
        <w:spacing w:before="3"/>
      </w:pPr>
    </w:p>
    <w:p w14:paraId="56A01C64">
      <w:pPr>
        <w:spacing w:before="3"/>
      </w:pPr>
    </w:p>
    <w:p w14:paraId="4FA2CB93">
      <w:pPr>
        <w:spacing w:before="2"/>
      </w:pPr>
    </w:p>
    <w:p w14:paraId="508E1DDB">
      <w:pPr>
        <w:spacing w:line="14" w:lineRule="auto"/>
        <w:rPr>
          <w:rFonts w:ascii="Arial"/>
          <w:sz w:val="2"/>
        </w:rPr>
      </w:pPr>
      <w:r>
        <w:rPr>
          <w:rFonts w:ascii="Arial" w:hAnsi="Arial" w:eastAsia="Arial" w:cs="Arial"/>
          <w:sz w:val="2"/>
          <w:szCs w:val="2"/>
        </w:rPr>
        <w:br w:type="column"/>
      </w:r>
    </w:p>
    <w:p w14:paraId="185F06B8">
      <w:pPr>
        <w:spacing w:before="89" w:line="1040" w:lineRule="exact"/>
      </w:pPr>
      <w:r>
        <w:rPr>
          <w:position w:val="-20"/>
        </w:rPr>
        <w:drawing>
          <wp:inline distT="0" distB="0" distL="0" distR="0">
            <wp:extent cx="1301750" cy="65976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42"/>
                    <a:stretch>
                      <a:fillRect/>
                    </a:stretch>
                  </pic:blipFill>
                  <pic:spPr>
                    <a:xfrm>
                      <a:off x="0" y="0"/>
                      <a:ext cx="1301762" cy="660393"/>
                    </a:xfrm>
                    <a:prstGeom prst="rect">
                      <a:avLst/>
                    </a:prstGeom>
                  </pic:spPr>
                </pic:pic>
              </a:graphicData>
            </a:graphic>
          </wp:inline>
        </w:drawing>
      </w:r>
    </w:p>
    <w:p w14:paraId="4DE6CC43">
      <w:pPr>
        <w:spacing w:before="115" w:line="221" w:lineRule="auto"/>
        <w:ind w:left="830"/>
        <w:rPr>
          <w:rFonts w:hint="default" w:ascii="宋体" w:hAnsi="宋体" w:eastAsia="宋体" w:cs="宋体"/>
          <w:sz w:val="12"/>
          <w:szCs w:val="12"/>
          <w:lang w:val="en-US"/>
        </w:rPr>
      </w:pPr>
      <w:r>
        <w:rPr>
          <w:rFonts w:ascii="Times New Roman" w:hAnsi="宋体" w:eastAsia="宋体" w:cs="宋体"/>
          <w:snapToGrid w:val="0"/>
          <w:color w:val="000000"/>
          <w:spacing w:val="2"/>
          <w:kern w:val="0"/>
          <w:sz w:val="12"/>
          <w:szCs w:val="12"/>
          <w:lang w:val="en-US" w:eastAsia="en-US" w:bidi="ar-SA"/>
        </w:rPr>
        <w:t>gráfico 4-11</w:t>
      </w:r>
    </w:p>
    <w:p w14:paraId="09C7ADBD">
      <w:pPr>
        <w:spacing w:line="14" w:lineRule="auto"/>
        <w:rPr>
          <w:rFonts w:ascii="Arial"/>
          <w:sz w:val="2"/>
        </w:rPr>
      </w:pPr>
      <w:r>
        <w:rPr>
          <w:rFonts w:ascii="Arial" w:hAnsi="Arial" w:eastAsia="Arial" w:cs="Arial"/>
          <w:sz w:val="2"/>
          <w:szCs w:val="2"/>
        </w:rPr>
        <w:br w:type="column"/>
      </w:r>
    </w:p>
    <w:p w14:paraId="6DBB63A2">
      <w:pPr>
        <w:spacing w:before="38" w:line="1131" w:lineRule="exact"/>
      </w:pPr>
      <w:r>
        <w:rPr>
          <w:position w:val="-22"/>
        </w:rPr>
        <w:drawing>
          <wp:inline distT="0" distB="0" distL="0" distR="0">
            <wp:extent cx="456565" cy="71755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43"/>
                    <a:stretch>
                      <a:fillRect/>
                    </a:stretch>
                  </pic:blipFill>
                  <pic:spPr>
                    <a:xfrm>
                      <a:off x="0" y="0"/>
                      <a:ext cx="457188" cy="717578"/>
                    </a:xfrm>
                    <a:prstGeom prst="rect">
                      <a:avLst/>
                    </a:prstGeom>
                  </pic:spPr>
                </pic:pic>
              </a:graphicData>
            </a:graphic>
          </wp:inline>
        </w:drawing>
      </w:r>
    </w:p>
    <w:p w14:paraId="7F1EA3FA">
      <w:pPr>
        <w:pStyle w:val="2"/>
        <w:spacing w:before="75" w:line="222" w:lineRule="auto"/>
        <w:ind w:left="159"/>
        <w:rPr>
          <w:rFonts w:hint="default"/>
          <w:lang w:val="en-US"/>
        </w:rPr>
      </w:pPr>
      <w:r>
        <w:rPr>
          <w:rFonts w:ascii="Times New Roman" w:hAnsi="黑体" w:eastAsia="黑体" w:cs="黑体"/>
          <w:snapToGrid w:val="0"/>
          <w:color w:val="000000"/>
          <w:spacing w:val="5"/>
          <w:kern w:val="0"/>
          <w:sz w:val="12"/>
          <w:szCs w:val="12"/>
          <w:lang w:val="en-US" w:eastAsia="en-US" w:bidi="ar-SA"/>
        </w:rPr>
        <w:t>gráfico 4-12</w:t>
      </w:r>
    </w:p>
    <w:p w14:paraId="22149D90">
      <w:pPr>
        <w:spacing w:line="222" w:lineRule="auto"/>
        <w:sectPr>
          <w:type w:val="continuous"/>
          <w:pgSz w:w="6030" w:h="8300"/>
          <w:pgMar w:top="694" w:right="689" w:bottom="563" w:left="328" w:header="0" w:footer="455" w:gutter="0"/>
          <w:cols w:equalWidth="0" w:num="3">
            <w:col w:w="982" w:space="100"/>
            <w:col w:w="2181" w:space="100"/>
            <w:col w:w="1651"/>
          </w:cols>
        </w:sectPr>
      </w:pPr>
    </w:p>
    <w:p w14:paraId="235ABF3C">
      <w:pPr>
        <w:pStyle w:val="2"/>
        <w:spacing w:before="189" w:line="298" w:lineRule="auto"/>
        <w:ind w:left="391" w:right="33" w:firstLine="260"/>
        <w:jc w:val="both"/>
        <w:rPr>
          <w:rFonts w:hint="default"/>
          <w:lang w:val="en-US"/>
        </w:rPr>
      </w:pPr>
      <w:r>
        <w:rPr>
          <w:rFonts w:ascii="Times New Roman" w:hAnsi="黑体" w:eastAsia="黑体" w:cs="黑体"/>
          <w:snapToGrid w:val="0"/>
          <w:color w:val="000000"/>
          <w:spacing w:val="8"/>
          <w:kern w:val="0"/>
          <w:sz w:val="12"/>
          <w:szCs w:val="12"/>
          <w:lang w:val="en-US" w:eastAsia="en-US" w:bidi="ar-SA"/>
        </w:rPr>
        <w:t>La figura 4-11 muestra los bornes de cableado de carga 485 del controlador, con dos grupos de interfaz exclusivamente para la transmisión de datos de concentración de gas. Se puede conectar a dispositivos de visualización gráfica, ordenadores y otros equipos. "A" representa la señal 485, mientras que "B" también representa la señal 485 (la secuencia de cableado debe mantenerse coherente para evitar fallos del equipo).</w:t>
      </w:r>
    </w:p>
    <w:p w14:paraId="1A76DD18">
      <w:pPr>
        <w:spacing w:line="298" w:lineRule="auto"/>
        <w:sectPr>
          <w:type w:val="continuous"/>
          <w:pgSz w:w="6030" w:h="8300"/>
          <w:pgMar w:top="694" w:right="689" w:bottom="563" w:left="328" w:header="0" w:footer="455" w:gutter="0"/>
          <w:cols w:equalWidth="0" w:num="1">
            <w:col w:w="5012"/>
          </w:cols>
        </w:sectPr>
      </w:pPr>
    </w:p>
    <w:p w14:paraId="56168985">
      <w:pPr>
        <w:pStyle w:val="2"/>
        <w:spacing w:before="33" w:line="213" w:lineRule="auto"/>
        <w:ind w:left="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La figura 4-12 muestra un conjunto de interfaces Ethernet para cargar datos de IoT (función opcional).</w:t>
      </w:r>
    </w:p>
    <w:p w14:paraId="46B3F491">
      <w:pPr>
        <w:pStyle w:val="2"/>
        <w:spacing w:before="103" w:line="384" w:lineRule="auto"/>
        <w:ind w:right="14" w:firstLine="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La figura 4-11 muestra los bornes de cableado de carga 4 8 5 del controlador, con dos grupos de interfaz exclusivamente para la transmisión de datos de concentración de gas. Se puede conectar a dispositivos de visualización gráfica, ordenadores y otros equipos. "A" representa la señal 4 8 5, mientras que "B" designa la señal 4 8 5 (la secuencia de cableado debe mantenerse coherente para evitar fallos del equipo).</w:t>
      </w:r>
    </w:p>
    <w:p w14:paraId="592F49A5">
      <w:pPr>
        <w:pStyle w:val="2"/>
        <w:spacing w:before="3" w:line="213" w:lineRule="auto"/>
        <w:ind w:left="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La figura 4-12 muestra un conjunto de interfaces Ethernet para cargar datos de IoT (función opcional).</w:t>
      </w:r>
    </w:p>
    <w:p w14:paraId="68071881">
      <w:pPr>
        <w:pStyle w:val="2"/>
        <w:spacing w:before="116" w:line="221" w:lineRule="auto"/>
        <w:ind w:left="1"/>
        <w:rPr>
          <w:rFonts w:hint="default"/>
          <w:sz w:val="11"/>
          <w:szCs w:val="11"/>
          <w:lang w:val="en-US"/>
        </w:rPr>
      </w:pPr>
      <w:r>
        <w:rPr>
          <w:rFonts w:ascii="Times New Roman" w:hAnsi="黑体" w:eastAsia="黑体" w:cs="黑体"/>
          <w:b/>
          <w:bCs/>
          <w:snapToGrid w:val="0"/>
          <w:color w:val="000000"/>
          <w:spacing w:val="11"/>
          <w:kern w:val="0"/>
          <w:sz w:val="11"/>
          <w:szCs w:val="11"/>
          <w:lang w:val="en-US" w:eastAsia="en-US" w:bidi="ar-SA"/>
        </w:rPr>
        <w:t>4.6 Instalación del sistema del controlador</w:t>
      </w:r>
    </w:p>
    <w:p w14:paraId="1EC6F58E">
      <w:pPr>
        <w:pStyle w:val="2"/>
        <w:spacing w:before="88" w:line="221" w:lineRule="auto"/>
        <w:ind w:left="1"/>
        <w:rPr>
          <w:rFonts w:hint="default"/>
          <w:sz w:val="11"/>
          <w:szCs w:val="11"/>
          <w:lang w:val="en-US"/>
        </w:rPr>
      </w:pPr>
      <w:r>
        <w:rPr>
          <w:rFonts w:ascii="Times New Roman" w:hAnsi="黑体" w:eastAsia="黑体" w:cs="黑体"/>
          <w:b/>
          <w:bCs/>
          <w:snapToGrid w:val="0"/>
          <w:color w:val="000000"/>
          <w:spacing w:val="9"/>
          <w:kern w:val="0"/>
          <w:sz w:val="11"/>
          <w:szCs w:val="11"/>
          <w:lang w:val="en-US" w:eastAsia="en-US" w:bidi="ar-SA"/>
        </w:rPr>
        <w:t>El diagrama de instalación del sistema del controlador GDB9 se muestra en la figura 4-13.</w:t>
      </w:r>
    </w:p>
    <w:p w14:paraId="6CFB7A6D">
      <w:pPr>
        <w:spacing w:line="275" w:lineRule="auto"/>
        <w:rPr>
          <w:rFonts w:ascii="Arial"/>
          <w:sz w:val="21"/>
        </w:rPr>
      </w:pPr>
    </w:p>
    <w:p w14:paraId="6603596B">
      <w:pPr>
        <w:spacing w:line="275" w:lineRule="auto"/>
        <w:rPr>
          <w:rFonts w:ascii="Arial"/>
          <w:sz w:val="21"/>
        </w:rPr>
      </w:pPr>
    </w:p>
    <w:p w14:paraId="5D984A55">
      <w:pPr>
        <w:spacing w:line="275" w:lineRule="auto"/>
        <w:rPr>
          <w:rFonts w:ascii="Arial"/>
          <w:sz w:val="21"/>
        </w:rPr>
      </w:pPr>
    </w:p>
    <w:p w14:paraId="2FA5D18D">
      <w:pPr>
        <w:spacing w:line="275" w:lineRule="auto"/>
        <w:rPr>
          <w:rFonts w:ascii="Arial"/>
          <w:sz w:val="21"/>
        </w:rPr>
      </w:pPr>
    </w:p>
    <w:p w14:paraId="378E99FA">
      <w:pPr>
        <w:spacing w:line="275" w:lineRule="auto"/>
        <w:rPr>
          <w:rFonts w:ascii="Arial"/>
          <w:sz w:val="21"/>
        </w:rPr>
      </w:pPr>
    </w:p>
    <w:p w14:paraId="07BEFA0A">
      <w:pPr>
        <w:pStyle w:val="2"/>
        <w:spacing w:before="36" w:line="222" w:lineRule="auto"/>
        <w:ind w:left="2990"/>
        <w:rPr>
          <w:rFonts w:hint="default"/>
          <w:sz w:val="11"/>
          <w:szCs w:val="11"/>
          <w:lang w:val="en-US"/>
        </w:rPr>
      </w:pPr>
      <w:r>
        <w:rPr>
          <w:rFonts w:ascii="Times New Roman"/>
        </w:rPr>
        <mc:AlternateContent>
          <mc:Choice Requires="wps">
            <w:drawing>
              <wp:anchor distT="0" distB="0" distL="114300" distR="114300" simplePos="0" relativeHeight="251672576" behindDoc="0" locked="0" layoutInCell="1" allowOverlap="1">
                <wp:simplePos x="0" y="0"/>
                <wp:positionH relativeFrom="column">
                  <wp:posOffset>1263650</wp:posOffset>
                </wp:positionH>
                <wp:positionV relativeFrom="paragraph">
                  <wp:posOffset>-14605</wp:posOffset>
                </wp:positionV>
                <wp:extent cx="232410" cy="10985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32410" cy="109855"/>
                        </a:xfrm>
                        <a:prstGeom prst="rect">
                          <a:avLst/>
                        </a:prstGeom>
                        <a:noFill/>
                        <a:ln>
                          <a:noFill/>
                        </a:ln>
                      </wps:spPr>
                      <wps:txbx>
                        <w:txbxContent>
                          <w:p w14:paraId="5BF618E1">
                            <w:pPr>
                              <w:pStyle w:val="2"/>
                              <w:spacing w:before="19" w:line="222" w:lineRule="auto"/>
                              <w:ind w:left="20"/>
                              <w:rPr>
                                <w:rFonts w:hint="default"/>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Armario de control</w:t>
                            </w:r>
                          </w:p>
                        </w:txbxContent>
                      </wps:txbx>
                      <wps:bodyPr lIns="0" tIns="0" rIns="0" bIns="0" upright="1"/>
                    </wps:wsp>
                  </a:graphicData>
                </a:graphic>
              </wp:anchor>
            </w:drawing>
          </mc:Choice>
          <mc:Fallback>
            <w:pict>
              <v:shape id="_x0000_s1026" o:spid="_x0000_s1026" o:spt="202" type="#_x0000_t202" style="position:absolute;left:0pt;margin-left:99.5pt;margin-top:-1.15pt;height:8.65pt;width:18.3pt;z-index:251672576;mso-width-relative:page;mso-height-relative:page;" filled="f" stroked="f" coordsize="21600,21600" o:gfxdata="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n8hCdcAAAAJAQAADwAAAAAAAAABACAAAAAiAAAAZHJzL2Rvd25yZXYueG1sUEsBAhQA&#10;FAAAAAgAh07iQAUVLIi6AQAAcwMAAA4AAAAAAAAAAQAgAAAAJgEAAGRycy9lMm9Eb2MueG1sUEsF&#10;BgAAAAAGAAYAWQEAAFIFAAAAAA==&#10;">
                <v:fill on="f" focussize="0,0"/>
                <v:stroke on="f"/>
                <v:imagedata o:title=""/>
                <o:lock v:ext="edit" aspectratio="f"/>
                <v:textbox inset="0mm,0mm,0mm,0mm">
                  <w:txbxContent>
                    <w:p w14:paraId="5BF618E1">
                      <w:pPr>
                        <w:pStyle w:val="2"/>
                        <w:spacing w:before="19" w:line="222" w:lineRule="auto"/>
                        <w:ind w:left="20"/>
                        <w:rPr>
                          <w:rFonts w:hint="default"/>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Armario de control</w:t>
                      </w:r>
                    </w:p>
                  </w:txbxContent>
                </v:textbox>
              </v:shape>
            </w:pict>
          </mc:Fallback>
        </mc:AlternateContent>
      </w:r>
      <w:r>
        <w:rPr>
          <w:rFonts w:ascii="Times New Roman"/>
        </w:rPr>
        <w:drawing>
          <wp:anchor distT="0" distB="0" distL="0" distR="0" simplePos="0" relativeHeight="251671552" behindDoc="1" locked="0" layoutInCell="1" allowOverlap="1">
            <wp:simplePos x="0" y="0"/>
            <wp:positionH relativeFrom="column">
              <wp:posOffset>69850</wp:posOffset>
            </wp:positionH>
            <wp:positionV relativeFrom="paragraph">
              <wp:posOffset>-810895</wp:posOffset>
            </wp:positionV>
            <wp:extent cx="2857500" cy="1428750"/>
            <wp:effectExtent l="0" t="0" r="12700" b="19050"/>
            <wp:wrapNone/>
            <wp:docPr id="13" name="IM 46"/>
            <wp:cNvGraphicFramePr/>
            <a:graphic xmlns:a="http://schemas.openxmlformats.org/drawingml/2006/main">
              <a:graphicData uri="http://schemas.openxmlformats.org/drawingml/2006/picture">
                <pic:pic xmlns:pic="http://schemas.openxmlformats.org/drawingml/2006/picture">
                  <pic:nvPicPr>
                    <pic:cNvPr id="13" name="IM 46"/>
                    <pic:cNvPicPr/>
                  </pic:nvPicPr>
                  <pic:blipFill>
                    <a:blip r:embed="rId44"/>
                    <a:stretch>
                      <a:fillRect/>
                    </a:stretch>
                  </pic:blipFill>
                  <pic:spPr>
                    <a:xfrm>
                      <a:off x="0" y="0"/>
                      <a:ext cx="2857505" cy="1428727"/>
                    </a:xfrm>
                    <a:prstGeom prst="rect">
                      <a:avLst/>
                    </a:prstGeom>
                  </pic:spPr>
                </pic:pic>
              </a:graphicData>
            </a:graphic>
          </wp:anchor>
        </w:drawing>
      </w:r>
      <w:r>
        <w:rPr>
          <w:rFonts w:ascii="Times New Roman" w:hAnsi="黑体" w:eastAsia="黑体" w:cs="黑体"/>
          <w:snapToGrid w:val="0"/>
          <w:color w:val="000000"/>
          <w:spacing w:val="-3"/>
          <w:kern w:val="0"/>
          <w:sz w:val="11"/>
          <w:szCs w:val="11"/>
          <w:lang w:val="en-US" w:eastAsia="en-US" w:bidi="ar-SA"/>
        </w:rPr>
        <w:t>armario de coincidencia</w:t>
      </w:r>
    </w:p>
    <w:p w14:paraId="20FD54D1">
      <w:pPr>
        <w:pStyle w:val="2"/>
        <w:spacing w:before="58" w:line="229" w:lineRule="auto"/>
        <w:ind w:left="2900"/>
        <w:rPr>
          <w:rFonts w:hint="default"/>
          <w:sz w:val="11"/>
          <w:szCs w:val="11"/>
          <w:lang w:val="en-US"/>
        </w:rPr>
      </w:pPr>
      <w:r>
        <w:rPr>
          <w:rFonts w:ascii="Times New Roman"/>
        </w:rPr>
        <mc:AlternateContent>
          <mc:Choice Requires="wps">
            <w:drawing>
              <wp:anchor distT="0" distB="0" distL="114300" distR="114300" simplePos="0" relativeHeight="251673600" behindDoc="0" locked="0" layoutInCell="1" allowOverlap="1">
                <wp:simplePos x="0" y="0"/>
                <wp:positionH relativeFrom="column">
                  <wp:posOffset>1187450</wp:posOffset>
                </wp:positionH>
                <wp:positionV relativeFrom="paragraph">
                  <wp:posOffset>35560</wp:posOffset>
                </wp:positionV>
                <wp:extent cx="223520" cy="889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23520" cy="88900"/>
                        </a:xfrm>
                        <a:prstGeom prst="rect">
                          <a:avLst/>
                        </a:prstGeom>
                        <a:noFill/>
                        <a:ln>
                          <a:noFill/>
                        </a:ln>
                      </wps:spPr>
                      <wps:txbx>
                        <w:txbxContent>
                          <w:p w14:paraId="3DF9D0E0">
                            <w:pPr>
                              <w:spacing w:before="20" w:line="188" w:lineRule="auto"/>
                              <w:ind w:right="2"/>
                              <w:jc w:val="right"/>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88"/>
                                <w:kern w:val="0"/>
                                <w:sz w:val="11"/>
                                <w:szCs w:val="11"/>
                                <w:highlight w:val="yellow"/>
                                <w:lang w:val="en-US" w:eastAsia="en-US" w:bidi="ar-SA"/>
                              </w:rPr>
                              <w:t>AC220V</w:t>
                            </w:r>
                          </w:p>
                        </w:txbxContent>
                      </wps:txbx>
                      <wps:bodyPr lIns="0" tIns="0" rIns="0" bIns="0" upright="1"/>
                    </wps:wsp>
                  </a:graphicData>
                </a:graphic>
              </wp:anchor>
            </w:drawing>
          </mc:Choice>
          <mc:Fallback>
            <w:pict>
              <v:shape id="_x0000_s1026" o:spid="_x0000_s1026" o:spt="202" type="#_x0000_t202" style="position:absolute;left:0pt;margin-left:93.5pt;margin-top:2.8pt;height:7pt;width:17.6pt;z-index:251673600;mso-width-relative:page;mso-height-relative:page;" filled="f" stroked="f" coordsize="21600,21600" o:gfxdata="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c6OFa1gAAAAgBAAAPAAAAAAAAAAEAIAAAACIAAABkcnMvZG93bnJldi54bWxQSwECFAAU&#10;AAAACACHTuJAUq3QTboBAAByAwAADgAAAAAAAAABACAAAAAlAQAAZHJzL2Uyb0RvYy54bWxQSwUG&#10;AAAAAAYABgBZAQAAUQUAAAAA&#10;">
                <v:fill on="f" focussize="0,0"/>
                <v:stroke on="f"/>
                <v:imagedata o:title=""/>
                <o:lock v:ext="edit" aspectratio="f"/>
                <v:textbox inset="0mm,0mm,0mm,0mm">
                  <w:txbxContent>
                    <w:p w14:paraId="3DF9D0E0">
                      <w:pPr>
                        <w:spacing w:before="20" w:line="188" w:lineRule="auto"/>
                        <w:ind w:right="2"/>
                        <w:jc w:val="right"/>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88"/>
                          <w:kern w:val="0"/>
                          <w:sz w:val="11"/>
                          <w:szCs w:val="11"/>
                          <w:highlight w:val="yellow"/>
                          <w:lang w:val="en-US" w:eastAsia="en-US" w:bidi="ar-SA"/>
                        </w:rPr>
                        <w:t>AC220V</w:t>
                      </w:r>
                    </w:p>
                  </w:txbxContent>
                </v:textbox>
              </v:shape>
            </w:pict>
          </mc:Fallback>
        </mc:AlternateContent>
      </w:r>
      <w:r>
        <w:rPr>
          <w:rFonts w:ascii="Times New Roman" w:hAnsi="黑体" w:eastAsia="黑体" w:cs="黑体"/>
          <w:snapToGrid w:val="0"/>
          <w:color w:val="000000"/>
          <w:spacing w:val="-6"/>
          <w:kern w:val="0"/>
          <w:sz w:val="11"/>
          <w:szCs w:val="11"/>
          <w:lang w:val="en-US" w:eastAsia="en-US" w:bidi="ar-SA"/>
        </w:rPr>
        <w:t>Armario de enclavamiento AC220V Armario de enclavamiento AC220V</w:t>
      </w:r>
    </w:p>
    <w:p w14:paraId="64F79458">
      <w:pPr>
        <w:spacing w:before="70" w:line="188" w:lineRule="auto"/>
        <w:ind w:left="377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4"/>
          <w:w w:val="90"/>
          <w:kern w:val="0"/>
          <w:sz w:val="11"/>
          <w:szCs w:val="11"/>
          <w:lang w:val="en-US" w:eastAsia="en-US" w:bidi="ar-SA"/>
        </w:rPr>
        <w:t>AC220V</w:t>
      </w:r>
    </w:p>
    <w:p w14:paraId="7D15C72F">
      <w:pPr>
        <w:spacing w:before="191" w:line="188" w:lineRule="auto"/>
        <w:ind w:left="36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AC220V</w:t>
      </w:r>
    </w:p>
    <w:p w14:paraId="7AC1BCFF">
      <w:pPr>
        <w:pStyle w:val="2"/>
        <w:spacing w:before="223" w:line="222" w:lineRule="auto"/>
        <w:ind w:left="2170"/>
        <w:rPr>
          <w:rFonts w:hint="default"/>
          <w:sz w:val="11"/>
          <w:szCs w:val="11"/>
          <w:lang w:val="en-US"/>
        </w:rPr>
      </w:pPr>
      <w:r>
        <w:rPr>
          <w:rFonts w:ascii="Times New Roman" w:hAnsi="黑体" w:eastAsia="黑体" w:cs="黑体"/>
          <w:snapToGrid w:val="0"/>
          <w:color w:val="000000"/>
          <w:spacing w:val="5"/>
          <w:kern w:val="0"/>
          <w:sz w:val="11"/>
          <w:szCs w:val="11"/>
          <w:lang w:val="en-US" w:eastAsia="en-US" w:bidi="ar-SA"/>
        </w:rPr>
        <w:t>gráfico 4-13</w:t>
      </w:r>
    </w:p>
    <w:p w14:paraId="17AE065E">
      <w:pPr>
        <w:pStyle w:val="2"/>
        <w:spacing w:before="175" w:line="221" w:lineRule="auto"/>
        <w:rPr>
          <w:rFonts w:hint="default"/>
          <w:sz w:val="11"/>
          <w:szCs w:val="11"/>
          <w:lang w:val="en-US"/>
        </w:rPr>
      </w:pPr>
      <w:r>
        <w:rPr>
          <w:rFonts w:ascii="Times New Roman" w:hAnsi="黑体" w:eastAsia="黑体" w:cs="黑体"/>
          <w:b/>
          <w:bCs/>
          <w:snapToGrid w:val="0"/>
          <w:color w:val="000000"/>
          <w:spacing w:val="9"/>
          <w:kern w:val="0"/>
          <w:sz w:val="11"/>
          <w:szCs w:val="11"/>
          <w:lang w:val="en-US" w:eastAsia="en-US" w:bidi="ar-SA"/>
        </w:rPr>
        <w:t>El diagrama de instalación del sistema del controlador GDB10 se muestra en la figura 4-14.</w:t>
      </w:r>
    </w:p>
    <w:p w14:paraId="1EC32019">
      <w:pPr>
        <w:spacing w:line="299" w:lineRule="auto"/>
        <w:rPr>
          <w:rFonts w:ascii="Arial"/>
          <w:sz w:val="21"/>
        </w:rPr>
      </w:pPr>
    </w:p>
    <w:p w14:paraId="0C258689">
      <w:pPr>
        <w:spacing w:line="299" w:lineRule="auto"/>
        <w:rPr>
          <w:rFonts w:ascii="Arial"/>
          <w:sz w:val="21"/>
        </w:rPr>
      </w:pPr>
    </w:p>
    <w:p w14:paraId="14A038E9">
      <w:pPr>
        <w:spacing w:line="299" w:lineRule="auto"/>
        <w:rPr>
          <w:rFonts w:ascii="Arial"/>
          <w:sz w:val="21"/>
        </w:rPr>
      </w:pPr>
    </w:p>
    <w:p w14:paraId="0A6CEB45">
      <w:pPr>
        <w:spacing w:line="300" w:lineRule="auto"/>
        <w:rPr>
          <w:rFonts w:ascii="Arial"/>
          <w:sz w:val="21"/>
        </w:rPr>
      </w:pPr>
    </w:p>
    <w:p w14:paraId="57A381EE">
      <w:pPr>
        <w:pStyle w:val="2"/>
        <w:spacing w:before="36" w:line="222" w:lineRule="auto"/>
        <w:ind w:left="2050"/>
        <w:rPr>
          <w:rFonts w:hint="default"/>
          <w:sz w:val="11"/>
          <w:szCs w:val="11"/>
          <w:lang w:val="en-US"/>
        </w:rPr>
      </w:pPr>
      <w:r>
        <w:rPr>
          <w:rFonts w:ascii="Times New Roman"/>
        </w:rPr>
        <mc:AlternateContent>
          <mc:Choice Requires="wps">
            <w:drawing>
              <wp:anchor distT="0" distB="0" distL="114300" distR="114300" simplePos="0" relativeHeight="251675648" behindDoc="0" locked="0" layoutInCell="1" allowOverlap="1">
                <wp:simplePos x="0" y="0"/>
                <wp:positionH relativeFrom="column">
                  <wp:posOffset>1924050</wp:posOffset>
                </wp:positionH>
                <wp:positionV relativeFrom="paragraph">
                  <wp:posOffset>3175</wp:posOffset>
                </wp:positionV>
                <wp:extent cx="200025" cy="10985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00025" cy="109855"/>
                        </a:xfrm>
                        <a:prstGeom prst="rect">
                          <a:avLst/>
                        </a:prstGeom>
                        <a:noFill/>
                        <a:ln>
                          <a:noFill/>
                        </a:ln>
                      </wps:spPr>
                      <wps:txbx>
                        <w:txbxContent>
                          <w:p w14:paraId="704E3EF3">
                            <w:pPr>
                              <w:pStyle w:val="2"/>
                              <w:spacing w:before="19" w:line="222" w:lineRule="auto"/>
                              <w:ind w:right="1"/>
                              <w:jc w:val="right"/>
                              <w:rPr>
                                <w:rFonts w:hint="default"/>
                                <w:sz w:val="11"/>
                                <w:szCs w:val="11"/>
                                <w:highlight w:val="yellow"/>
                                <w:lang w:val="en-US"/>
                              </w:rPr>
                            </w:pPr>
                            <w:r>
                              <w:rPr>
                                <w:rFonts w:ascii="Times New Roman" w:hAnsi="黑体" w:eastAsia="黑体" w:cs="黑体"/>
                                <w:snapToGrid w:val="0"/>
                                <w:color w:val="000000"/>
                                <w:spacing w:val="-6"/>
                                <w:w w:val="94"/>
                                <w:kern w:val="0"/>
                                <w:sz w:val="11"/>
                                <w:szCs w:val="11"/>
                                <w:highlight w:val="yellow"/>
                                <w:lang w:val="en-US" w:eastAsia="en-US" w:bidi="ar-SA"/>
                              </w:rPr>
                              <w:t>Armario de control</w:t>
                            </w:r>
                          </w:p>
                        </w:txbxContent>
                      </wps:txbx>
                      <wps:bodyPr lIns="0" tIns="0" rIns="0" bIns="0" upright="1"/>
                    </wps:wsp>
                  </a:graphicData>
                </a:graphic>
              </wp:anchor>
            </w:drawing>
          </mc:Choice>
          <mc:Fallback>
            <w:pict>
              <v:shape id="_x0000_s1026" o:spid="_x0000_s1026" o:spt="202" type="#_x0000_t202" style="position:absolute;left:0pt;margin-left:151.5pt;margin-top:0.25pt;height:8.65pt;width:15.75pt;z-index:251675648;mso-width-relative:page;mso-height-relative:page;" filled="f" stroked="f" coordsize="21600,21600" o:gfxdata="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YH5P7WAAAABwEAAA8AAAAAAAAAAQAgAAAAIgAAAGRycy9kb3ducmV2LnhtbFBLAQIUABQA&#10;AAAIAIdO4kDrT/3cuQEAAHMDAAAOAAAAAAAAAAEAIAAAACUBAABkcnMvZTJvRG9jLnhtbFBLBQYA&#10;AAAABgAGAFkBAABQBQAAAAA=&#10;">
                <v:fill on="f" focussize="0,0"/>
                <v:stroke on="f"/>
                <v:imagedata o:title=""/>
                <o:lock v:ext="edit" aspectratio="f"/>
                <v:textbox inset="0mm,0mm,0mm,0mm">
                  <w:txbxContent>
                    <w:p w14:paraId="704E3EF3">
                      <w:pPr>
                        <w:pStyle w:val="2"/>
                        <w:spacing w:before="19" w:line="222" w:lineRule="auto"/>
                        <w:ind w:right="1"/>
                        <w:jc w:val="right"/>
                        <w:rPr>
                          <w:rFonts w:hint="default"/>
                          <w:sz w:val="11"/>
                          <w:szCs w:val="11"/>
                          <w:highlight w:val="yellow"/>
                          <w:lang w:val="en-US"/>
                        </w:rPr>
                      </w:pPr>
                      <w:r>
                        <w:rPr>
                          <w:rFonts w:ascii="Times New Roman" w:hAnsi="黑体" w:eastAsia="黑体" w:cs="黑体"/>
                          <w:snapToGrid w:val="0"/>
                          <w:color w:val="000000"/>
                          <w:spacing w:val="-6"/>
                          <w:w w:val="94"/>
                          <w:kern w:val="0"/>
                          <w:sz w:val="11"/>
                          <w:szCs w:val="11"/>
                          <w:highlight w:val="yellow"/>
                          <w:lang w:val="en-US" w:eastAsia="en-US" w:bidi="ar-SA"/>
                        </w:rPr>
                        <w:t>Armario de control</w:t>
                      </w:r>
                    </w:p>
                  </w:txbxContent>
                </v:textbox>
              </v:shape>
            </w:pict>
          </mc:Fallback>
        </mc:AlternateContent>
      </w:r>
      <w:r>
        <w:rPr>
          <w:rFonts w:ascii="Times New Roman"/>
        </w:rPr>
        <w:drawing>
          <wp:anchor distT="0" distB="0" distL="0" distR="0" simplePos="0" relativeHeight="251674624" behindDoc="1" locked="0" layoutInCell="1" allowOverlap="1">
            <wp:simplePos x="0" y="0"/>
            <wp:positionH relativeFrom="column">
              <wp:posOffset>107950</wp:posOffset>
            </wp:positionH>
            <wp:positionV relativeFrom="paragraph">
              <wp:posOffset>-722630</wp:posOffset>
            </wp:positionV>
            <wp:extent cx="2825750" cy="1390650"/>
            <wp:effectExtent l="0" t="0" r="19050" b="6350"/>
            <wp:wrapNone/>
            <wp:docPr id="17" name="IM 48"/>
            <wp:cNvGraphicFramePr/>
            <a:graphic xmlns:a="http://schemas.openxmlformats.org/drawingml/2006/main">
              <a:graphicData uri="http://schemas.openxmlformats.org/drawingml/2006/picture">
                <pic:pic xmlns:pic="http://schemas.openxmlformats.org/drawingml/2006/picture">
                  <pic:nvPicPr>
                    <pic:cNvPr id="17" name="IM 48"/>
                    <pic:cNvPicPr/>
                  </pic:nvPicPr>
                  <pic:blipFill>
                    <a:blip r:embed="rId45"/>
                    <a:stretch>
                      <a:fillRect/>
                    </a:stretch>
                  </pic:blipFill>
                  <pic:spPr>
                    <a:xfrm>
                      <a:off x="0" y="0"/>
                      <a:ext cx="2825723" cy="1390674"/>
                    </a:xfrm>
                    <a:prstGeom prst="rect">
                      <a:avLst/>
                    </a:prstGeom>
                  </pic:spPr>
                </pic:pic>
              </a:graphicData>
            </a:graphic>
          </wp:anchor>
        </w:drawing>
      </w:r>
      <w:r>
        <w:rPr>
          <w:rFonts w:ascii="Times New Roman" w:hAnsi="黑体" w:eastAsia="黑体" w:cs="黑体"/>
          <w:snapToGrid w:val="0"/>
          <w:color w:val="000000"/>
          <w:spacing w:val="-6"/>
          <w:w w:val="92"/>
          <w:kern w:val="0"/>
          <w:sz w:val="11"/>
          <w:szCs w:val="11"/>
          <w:lang w:val="en-US" w:eastAsia="en-US" w:bidi="ar-SA"/>
        </w:rPr>
        <w:t>Armario de control</w:t>
      </w:r>
    </w:p>
    <w:p w14:paraId="3FA27234">
      <w:pPr>
        <w:pStyle w:val="2"/>
        <w:spacing w:before="48" w:line="185" w:lineRule="auto"/>
        <w:ind w:left="3850"/>
        <w:rPr>
          <w:rFonts w:hint="default"/>
          <w:sz w:val="11"/>
          <w:szCs w:val="11"/>
          <w:lang w:val="en-US"/>
        </w:rPr>
      </w:pPr>
      <w:r>
        <w:rPr>
          <w:rFonts w:ascii="Times New Roman" w:hAnsi="黑体" w:eastAsia="黑体" w:cs="黑体"/>
          <w:snapToGrid w:val="0"/>
          <w:color w:val="000000"/>
          <w:spacing w:val="-6"/>
          <w:w w:val="92"/>
          <w:kern w:val="0"/>
          <w:sz w:val="11"/>
          <w:szCs w:val="11"/>
          <w:lang w:val="en-US" w:eastAsia="en-US" w:bidi="ar-SA"/>
        </w:rPr>
        <w:t>Armario de control</w:t>
      </w:r>
    </w:p>
    <w:p w14:paraId="2D023368">
      <w:pPr>
        <w:spacing w:line="185" w:lineRule="auto"/>
        <w:ind w:left="1900"/>
        <w:rPr>
          <w:rFonts w:hint="default" w:ascii="Times New Roman" w:hAnsi="Times New Roman" w:eastAsia="Times New Roman" w:cs="Times New Roman"/>
          <w:sz w:val="11"/>
          <w:szCs w:val="11"/>
          <w:lang w:val="en-US"/>
        </w:rPr>
      </w:pPr>
      <w:r>
        <w:rPr>
          <w:rFonts w:ascii="Times New Roman"/>
        </w:rPr>
        <mc:AlternateContent>
          <mc:Choice Requires="wps">
            <w:drawing>
              <wp:anchor distT="0" distB="0" distL="114300" distR="114300" simplePos="0" relativeHeight="251676672" behindDoc="0" locked="0" layoutInCell="1" allowOverlap="1">
                <wp:simplePos x="0" y="0"/>
                <wp:positionH relativeFrom="column">
                  <wp:posOffset>1835150</wp:posOffset>
                </wp:positionH>
                <wp:positionV relativeFrom="paragraph">
                  <wp:posOffset>-6985</wp:posOffset>
                </wp:positionV>
                <wp:extent cx="229870" cy="889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29870" cy="88900"/>
                        </a:xfrm>
                        <a:prstGeom prst="rect">
                          <a:avLst/>
                        </a:prstGeom>
                        <a:noFill/>
                        <a:ln>
                          <a:noFill/>
                        </a:ln>
                      </wps:spPr>
                      <wps:txbx>
                        <w:txbxContent>
                          <w:p w14:paraId="724375A9">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90"/>
                                <w:kern w:val="0"/>
                                <w:sz w:val="11"/>
                                <w:szCs w:val="11"/>
                                <w:highlight w:val="yellow"/>
                                <w:lang w:val="en-US" w:eastAsia="en-US" w:bidi="ar-SA"/>
                              </w:rPr>
                              <w:t>AC220V</w:t>
                            </w:r>
                          </w:p>
                        </w:txbxContent>
                      </wps:txbx>
                      <wps:bodyPr lIns="0" tIns="0" rIns="0" bIns="0" upright="1"/>
                    </wps:wsp>
                  </a:graphicData>
                </a:graphic>
              </wp:anchor>
            </w:drawing>
          </mc:Choice>
          <mc:Fallback>
            <w:pict>
              <v:shape id="_x0000_s1026" o:spid="_x0000_s1026" o:spt="202" type="#_x0000_t202" style="position:absolute;left:0pt;margin-left:144.5pt;margin-top:-0.55pt;height:7pt;width:18.1pt;z-index:251676672;mso-width-relative:page;mso-height-relative:page;" filled="f" stroked="f" coordsize="21600,21600" o:gfxdata="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IDs2fYAAAACQEAAA8AAAAAAAAAAQAgAAAAIgAAAGRycy9kb3ducmV2LnhtbFBLAQIU&#10;ABQAAAAIAIdO4kCB+XDougEAAHIDAAAOAAAAAAAAAAEAIAAAACcBAABkcnMvZTJvRG9jLnhtbFBL&#10;BQYAAAAABgAGAFkBAABTBQAAAAA=&#10;">
                <v:fill on="f" focussize="0,0"/>
                <v:stroke on="f"/>
                <v:imagedata o:title=""/>
                <o:lock v:ext="edit" aspectratio="f"/>
                <v:textbox inset="0mm,0mm,0mm,0mm">
                  <w:txbxContent>
                    <w:p w14:paraId="724375A9">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90"/>
                          <w:kern w:val="0"/>
                          <w:sz w:val="11"/>
                          <w:szCs w:val="11"/>
                          <w:highlight w:val="yellow"/>
                          <w:lang w:val="en-US" w:eastAsia="en-US" w:bidi="ar-SA"/>
                        </w:rPr>
                        <w:t>AC220V</w:t>
                      </w:r>
                    </w:p>
                  </w:txbxContent>
                </v:textbox>
              </v:shape>
            </w:pict>
          </mc:Fallback>
        </mc:AlternateContent>
      </w:r>
      <w:r>
        <w:rPr>
          <w:rFonts w:ascii="Times New Roman" w:hAnsi="Times New Roman" w:eastAsia="Times New Roman" w:cs="Times New Roman"/>
          <w:snapToGrid w:val="0"/>
          <w:color w:val="000000"/>
          <w:spacing w:val="-4"/>
          <w:w w:val="94"/>
          <w:kern w:val="0"/>
          <w:sz w:val="11"/>
          <w:szCs w:val="11"/>
          <w:lang w:val="en-US" w:eastAsia="en-US" w:bidi="ar-SA"/>
        </w:rPr>
        <w:t>AC220v</w:t>
      </w:r>
    </w:p>
    <w:p w14:paraId="10AE3139">
      <w:pPr>
        <w:spacing w:before="91" w:line="188" w:lineRule="auto"/>
        <w:ind w:left="377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4"/>
          <w:w w:val="90"/>
          <w:kern w:val="0"/>
          <w:sz w:val="11"/>
          <w:szCs w:val="11"/>
          <w:lang w:val="en-US" w:eastAsia="en-US" w:bidi="ar-SA"/>
        </w:rPr>
        <w:t>AC220V</w:t>
      </w:r>
    </w:p>
    <w:p w14:paraId="20DAEC99">
      <w:pPr>
        <w:spacing w:before="181" w:line="188" w:lineRule="auto"/>
        <w:ind w:left="38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AC220V</w:t>
      </w:r>
    </w:p>
    <w:p w14:paraId="214279BA">
      <w:pPr>
        <w:pStyle w:val="2"/>
        <w:spacing w:before="212" w:line="222" w:lineRule="auto"/>
        <w:ind w:left="2200"/>
        <w:rPr>
          <w:rFonts w:hint="default"/>
          <w:sz w:val="11"/>
          <w:szCs w:val="11"/>
          <w:lang w:val="en-US"/>
        </w:rPr>
      </w:pPr>
      <w:r>
        <w:rPr>
          <w:rFonts w:ascii="Times New Roman" w:hAnsi="黑体" w:eastAsia="黑体" w:cs="黑体"/>
          <w:snapToGrid w:val="0"/>
          <w:color w:val="000000"/>
          <w:spacing w:val="6"/>
          <w:kern w:val="0"/>
          <w:sz w:val="11"/>
          <w:szCs w:val="11"/>
          <w:lang w:val="en-US" w:eastAsia="en-US" w:bidi="ar-SA"/>
        </w:rPr>
        <w:t>gráfico 4-14</w:t>
      </w:r>
    </w:p>
    <w:p w14:paraId="5D5D099D">
      <w:pPr>
        <w:spacing w:line="222" w:lineRule="auto"/>
        <w:rPr>
          <w:sz w:val="11"/>
          <w:szCs w:val="11"/>
        </w:rPr>
        <w:sectPr>
          <w:footerReference r:id="rId11" w:type="default"/>
          <w:pgSz w:w="6030" w:h="8300"/>
          <w:pgMar w:top="705" w:right="700" w:bottom="546" w:left="709" w:header="0" w:footer="447" w:gutter="0"/>
          <w:cols w:space="720" w:num="1"/>
        </w:sectPr>
      </w:pPr>
    </w:p>
    <w:p w14:paraId="73B58BDD">
      <w:pPr>
        <w:pStyle w:val="2"/>
        <w:spacing w:before="26" w:line="222"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4.6.1 Precauciones de instalación</w:t>
      </w:r>
    </w:p>
    <w:p w14:paraId="71B59E7E">
      <w:pPr>
        <w:pStyle w:val="2"/>
        <w:spacing w:before="127" w:line="222" w:lineRule="auto"/>
        <w:rPr>
          <w:rFonts w:hint="default"/>
          <w:lang w:val="en-US"/>
        </w:rPr>
      </w:pPr>
      <w:r>
        <w:rPr>
          <w:rFonts w:ascii="Times New Roman" w:hAnsi="黑体" w:eastAsia="黑体" w:cs="黑体"/>
          <w:snapToGrid w:val="0"/>
          <w:color w:val="000000"/>
          <w:spacing w:val="6"/>
          <w:kern w:val="0"/>
          <w:sz w:val="12"/>
          <w:szCs w:val="12"/>
          <w:lang w:val="en-US" w:eastAsia="en-US" w:bidi="ar-SA"/>
        </w:rPr>
        <w:t>(1) Seleccione los detectores de gas adecuados según el entorno de trabajo in situ.</w:t>
      </w:r>
    </w:p>
    <w:p w14:paraId="77B1EC20">
      <w:pPr>
        <w:pStyle w:val="2"/>
        <w:spacing w:before="80" w:line="311" w:lineRule="auto"/>
        <w:ind w:left="230" w:right="60" w:hanging="230"/>
        <w:rPr>
          <w:rFonts w:hint="default"/>
          <w:lang w:val="en-US"/>
        </w:rPr>
      </w:pPr>
      <w:r>
        <w:rPr>
          <w:rFonts w:ascii="Times New Roman" w:hAnsi="黑体" w:eastAsia="黑体" w:cs="黑体"/>
          <w:snapToGrid w:val="0"/>
          <w:color w:val="000000"/>
          <w:spacing w:val="2"/>
          <w:kern w:val="0"/>
          <w:sz w:val="12"/>
          <w:szCs w:val="12"/>
          <w:lang w:val="en-US" w:eastAsia="en-US" w:bidi="ar-SA"/>
        </w:rPr>
        <w:t>(2) Determine la ruta del cableado según el tipo de detector. Como se muestra en las figuras 4-13 y 4-14, los detectores de bus se pueden conectar en paralelo al bus principal mediante un método de conexión en T, mientras que cada detector de línea independiente requiere un cable (RVVP3×1.5mm²) para su conexión.</w:t>
      </w:r>
    </w:p>
    <w:p w14:paraId="56883786">
      <w:pPr>
        <w:pStyle w:val="2"/>
        <w:spacing w:before="86" w:line="287" w:lineRule="auto"/>
        <w:ind w:left="230" w:right="116" w:hanging="230"/>
        <w:rPr>
          <w:rFonts w:hint="default"/>
          <w:lang w:val="en-US"/>
        </w:rPr>
      </w:pPr>
      <w:r>
        <w:rPr>
          <w:rFonts w:ascii="Times New Roman" w:hAnsi="黑体" w:eastAsia="黑体" w:cs="黑体"/>
          <w:snapToGrid w:val="0"/>
          <w:color w:val="000000"/>
          <w:spacing w:val="15"/>
          <w:kern w:val="0"/>
          <w:sz w:val="12"/>
          <w:szCs w:val="12"/>
          <w:lang w:val="en-US" w:eastAsia="en-US" w:bidi="ar-SA"/>
        </w:rPr>
        <w:t>(3) Seleccione conductores adecuados según el número de detectores y las distancias de cableado (se recomienda utilizar conductores de un solo hilo con una sección transversal superior a 1.5 mm²).</w:t>
      </w:r>
    </w:p>
    <w:p w14:paraId="525D4CAF">
      <w:pPr>
        <w:pStyle w:val="2"/>
        <w:spacing w:before="84" w:line="213" w:lineRule="auto"/>
        <w:rPr>
          <w:rFonts w:hint="default"/>
          <w:lang w:val="en-US"/>
        </w:rPr>
      </w:pPr>
      <w:r>
        <w:rPr>
          <w:rFonts w:ascii="Times New Roman" w:hAnsi="黑体" w:eastAsia="黑体" w:cs="黑体"/>
          <w:snapToGrid w:val="0"/>
          <w:color w:val="000000"/>
          <w:spacing w:val="6"/>
          <w:kern w:val="0"/>
          <w:sz w:val="12"/>
          <w:szCs w:val="12"/>
          <w:lang w:val="en-US" w:eastAsia="en-US" w:bidi="ar-SA"/>
        </w:rPr>
        <w:t>(4) Los códigos de dirección de los detectores de bus no deben estar duplicados, ya que esto puede interferir en la comunicación de señal entre otros detectores y el controlador.</w:t>
      </w:r>
    </w:p>
    <w:p w14:paraId="46EF67CE">
      <w:pPr>
        <w:pStyle w:val="2"/>
        <w:spacing w:before="135" w:line="221"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4.6.2 Pasos de instalación</w:t>
      </w:r>
    </w:p>
    <w:p w14:paraId="7C276F01">
      <w:pPr>
        <w:pStyle w:val="2"/>
        <w:spacing w:before="118" w:line="305" w:lineRule="auto"/>
        <w:ind w:left="230" w:right="17" w:hanging="230"/>
        <w:rPr>
          <w:rFonts w:hint="default"/>
          <w:lang w:val="en-US"/>
        </w:rPr>
      </w:pPr>
      <w:r>
        <w:rPr>
          <w:rFonts w:ascii="Times New Roman" w:hAnsi="黑体" w:eastAsia="黑体" w:cs="黑体"/>
          <w:snapToGrid w:val="0"/>
          <w:color w:val="000000"/>
          <w:spacing w:val="5"/>
          <w:kern w:val="0"/>
          <w:sz w:val="12"/>
          <w:szCs w:val="12"/>
          <w:lang w:val="en-US" w:eastAsia="en-US" w:bidi="ar-SA"/>
        </w:rPr>
        <w:t>(1) Instalación del controlador: seleccione un lugar seguro, libre de gases inflamables, gases corrosivos, humos de cocina, polvo y exposición a la lluvia, para instalar el controlador. Fije los soportes de montaje a las paredes con tubos de expansión metálicos o pasadores de expansión y, a continuación, monte el controlador en los soportes. El controlador debe instalarse en una zona con personal para garantizar una respuesta rápida durante las alarmas. Se recomienda conectar la carcasa del controlador a un conductor de tierra para evitar interferencias de comunicación.</w:t>
      </w:r>
    </w:p>
    <w:p w14:paraId="4ADCD8F7">
      <w:pPr>
        <w:pStyle w:val="2"/>
        <w:spacing w:before="121" w:line="297" w:lineRule="auto"/>
        <w:ind w:left="230" w:right="20" w:hanging="230"/>
        <w:rPr>
          <w:rFonts w:hint="default"/>
          <w:lang w:val="en-US"/>
        </w:rPr>
      </w:pPr>
      <w:r>
        <w:rPr>
          <w:rFonts w:ascii="Times New Roman" w:hAnsi="黑体" w:eastAsia="黑体" w:cs="黑体"/>
          <w:snapToGrid w:val="0"/>
          <w:color w:val="000000"/>
          <w:spacing w:val="5"/>
          <w:kern w:val="0"/>
          <w:sz w:val="12"/>
          <w:szCs w:val="12"/>
          <w:lang w:val="en-US" w:eastAsia="en-US" w:bidi="ar-SA"/>
        </w:rPr>
        <w:t>(2) Instalación del detector: seleccione un lugar de instalación en el punto de detección libre de gases corrosivos, humos de cocina y polvo, y evite la inmersión en agua. Fije el detector o el actuador al punto de detección con juntas de expansión, tornillos o vainas protectoras de acero, asegurando que las interfaces queden selladas. La alimentación eléctrica del controlador debe desconectarse antes de la instalación del detector y restablecerse solo una vez finalizada.</w:t>
      </w:r>
    </w:p>
    <w:p w14:paraId="3B006F77">
      <w:pPr>
        <w:pStyle w:val="2"/>
        <w:spacing w:before="100" w:line="319" w:lineRule="auto"/>
        <w:ind w:left="230" w:hanging="230"/>
        <w:rPr>
          <w:rFonts w:hint="default"/>
          <w:lang w:val="en-US"/>
        </w:rPr>
      </w:pPr>
      <w:r>
        <w:rPr>
          <w:rFonts w:ascii="Times New Roman" w:hAnsi="黑体" w:eastAsia="黑体" w:cs="黑体"/>
          <w:snapToGrid w:val="0"/>
          <w:color w:val="000000"/>
          <w:spacing w:val="5"/>
          <w:kern w:val="0"/>
          <w:sz w:val="12"/>
          <w:szCs w:val="12"/>
          <w:lang w:val="en-US" w:eastAsia="en-US" w:bidi="ar-SA"/>
        </w:rPr>
        <w:t>(3) Cableado del sistema: el cableado solo debe realizarse después de que el controlador, los detectores y otros equipos se hayan instalado de forma segura. Asegúrese de que la alimentación eléctrica esté desconectada, abra la tapa de la caja de conexiones del detector o del actuador, conecte los cables a los bornes correspondientes y, a continuación, cierre y fije firmemente la tapa de la caja de conexiones. Durante el funcionamiento del sistema, asegúrese de que el cableado entre el controlador y los detectores sea correcto. Se debe prestar especial atención a evitar conexiones invertidas de las líneas de alimentación y de señal, ya que dichas conexiones pueden dañar el detector. La inversión de la polaridad positiva y negativa en las líneas de señal no provocará la quemadura del detector.</w:t>
      </w:r>
    </w:p>
    <w:p w14:paraId="3B79FD6B">
      <w:pPr>
        <w:pStyle w:val="2"/>
        <w:spacing w:before="92" w:line="213" w:lineRule="auto"/>
        <w:ind w:left="230"/>
        <w:rPr>
          <w:rFonts w:hint="default"/>
          <w:lang w:val="en-US"/>
        </w:rPr>
      </w:pPr>
      <w:r>
        <w:rPr>
          <w:rFonts w:ascii="Times New Roman" w:hAnsi="黑体" w:eastAsia="黑体" w:cs="黑体"/>
          <w:snapToGrid w:val="0"/>
          <w:color w:val="000000"/>
          <w:spacing w:val="3"/>
          <w:kern w:val="0"/>
          <w:sz w:val="12"/>
          <w:szCs w:val="12"/>
          <w:lang w:val="en-US" w:eastAsia="en-US" w:bidi="ar-SA"/>
        </w:rPr>
        <w:t>El detector puede sufrir pérdida de dirección durante el funcionamiento.</w:t>
      </w:r>
    </w:p>
    <w:p w14:paraId="03FAE320">
      <w:pPr>
        <w:pStyle w:val="2"/>
        <w:spacing w:before="112" w:line="213" w:lineRule="auto"/>
        <w:rPr>
          <w:rFonts w:hint="default"/>
          <w:lang w:val="en-US"/>
        </w:rPr>
      </w:pPr>
      <w:r>
        <w:rPr>
          <w:rFonts w:ascii="Times New Roman" w:hAnsi="黑体" w:eastAsia="黑体" w:cs="黑体"/>
          <w:snapToGrid w:val="0"/>
          <w:color w:val="000000"/>
          <w:spacing w:val="6"/>
          <w:kern w:val="0"/>
          <w:sz w:val="12"/>
          <w:szCs w:val="12"/>
          <w:lang w:val="en-US" w:eastAsia="en-US" w:bidi="ar-SA"/>
        </w:rPr>
        <w:t>(4) Conexión de la alimentación eléctrica: una vez verificada la exactitud de todas las conexiones de cableado, conecte la alimentación eléctrica del sistema.</w:t>
      </w:r>
    </w:p>
    <w:p w14:paraId="05FC7712">
      <w:pPr>
        <w:spacing w:line="244" w:lineRule="auto"/>
        <w:rPr>
          <w:rFonts w:ascii="Arial"/>
          <w:sz w:val="21"/>
        </w:rPr>
      </w:pPr>
    </w:p>
    <w:p w14:paraId="5DA1F4F0">
      <w:pPr>
        <w:pStyle w:val="2"/>
        <w:spacing w:before="39" w:line="221" w:lineRule="auto"/>
        <w:ind w:left="111"/>
        <w:outlineLvl w:val="0"/>
        <w:rPr>
          <w:rFonts w:hint="default"/>
          <w:lang w:val="en-US"/>
        </w:rPr>
      </w:pPr>
      <w:r>
        <w:rPr>
          <w:rFonts w:ascii="Times New Roman"/>
        </w:rPr>
        <w:drawing>
          <wp:anchor distT="0" distB="0" distL="0" distR="0" simplePos="0" relativeHeight="251677696" behindDoc="1" locked="0" layoutInCell="1" allowOverlap="1">
            <wp:simplePos x="0" y="0"/>
            <wp:positionH relativeFrom="column">
              <wp:posOffset>0</wp:posOffset>
            </wp:positionH>
            <wp:positionV relativeFrom="paragraph">
              <wp:posOffset>-26670</wp:posOffset>
            </wp:positionV>
            <wp:extent cx="1123950" cy="146050"/>
            <wp:effectExtent l="0" t="0" r="19050" b="6350"/>
            <wp:wrapNone/>
            <wp:docPr id="23" name="IM 50"/>
            <wp:cNvGraphicFramePr/>
            <a:graphic xmlns:a="http://schemas.openxmlformats.org/drawingml/2006/main">
              <a:graphicData uri="http://schemas.openxmlformats.org/drawingml/2006/picture">
                <pic:pic xmlns:pic="http://schemas.openxmlformats.org/drawingml/2006/picture">
                  <pic:nvPicPr>
                    <pic:cNvPr id="23" name="IM 50"/>
                    <pic:cNvPicPr/>
                  </pic:nvPicPr>
                  <pic:blipFill>
                    <a:blip r:embed="rId46"/>
                    <a:stretch>
                      <a:fillRect/>
                    </a:stretch>
                  </pic:blipFill>
                  <pic:spPr>
                    <a:xfrm>
                      <a:off x="0" y="0"/>
                      <a:ext cx="1123979" cy="146045"/>
                    </a:xfrm>
                    <a:prstGeom prst="rect">
                      <a:avLst/>
                    </a:prstGeom>
                  </pic:spPr>
                </pic:pic>
              </a:graphicData>
            </a:graphic>
          </wp:anchor>
        </w:drawing>
      </w:r>
      <w:bookmarkStart w:id="4" w:name="bookmark5"/>
      <w:bookmarkEnd w:id="4"/>
      <w:r>
        <w:rPr>
          <w:rFonts w:ascii="Times New Roman" w:hAnsi="黑体" w:eastAsia="黑体" w:cs="黑体"/>
          <w:b/>
          <w:bCs/>
          <w:snapToGrid w:val="0"/>
          <w:color w:val="FFFFFF"/>
          <w:spacing w:val="19"/>
          <w:kern w:val="0"/>
          <w:sz w:val="12"/>
          <w:szCs w:val="12"/>
          <w:lang w:val="en-US" w:eastAsia="en-US" w:bidi="ar-SA"/>
        </w:rPr>
        <w:t>V. Instrucciones de funcionamiento de las funciones del sistema</w:t>
      </w:r>
    </w:p>
    <w:p w14:paraId="23A7707F">
      <w:pPr>
        <w:pStyle w:val="2"/>
        <w:spacing w:before="143" w:line="366" w:lineRule="auto"/>
        <w:ind w:right="18" w:firstLine="230"/>
        <w:rPr>
          <w:rFonts w:hint="default"/>
          <w:lang w:val="en-US"/>
        </w:rPr>
      </w:pPr>
      <w:r>
        <w:rPr>
          <w:rFonts w:ascii="Times New Roman" w:hAnsi="黑体" w:eastAsia="黑体" w:cs="黑体"/>
          <w:snapToGrid w:val="0"/>
          <w:color w:val="000000"/>
          <w:spacing w:val="6"/>
          <w:kern w:val="0"/>
          <w:sz w:val="12"/>
          <w:szCs w:val="12"/>
          <w:lang w:val="en-US" w:eastAsia="en-US" w:bidi="ar-SA"/>
        </w:rPr>
        <w:t>Conecte la alimentación eléctrica (principal y de reserva). El dispositivo se iniciará automáticamente y la pantalla LCD mostrará la "interfaz de arranque". Mientras se muestra la interfaz de arranque, se inicializan los parámetros del sistema. Después de aproximadamente 180 segundos, aparece la "interfaz de monitorización", lo que indica que el dispositivo ha entrado en modo de monitorización normal.</w:t>
      </w:r>
    </w:p>
    <w:p w14:paraId="1E365B9E">
      <w:pPr>
        <w:spacing w:line="366" w:lineRule="auto"/>
        <w:sectPr>
          <w:footerReference r:id="rId12" w:type="default"/>
          <w:pgSz w:w="6030" w:h="8300"/>
          <w:pgMar w:top="705" w:right="674" w:bottom="539" w:left="719" w:header="0" w:footer="449" w:gutter="0"/>
          <w:cols w:space="720" w:num="1"/>
        </w:sectPr>
      </w:pPr>
    </w:p>
    <w:p w14:paraId="7B6F55EE">
      <w:pPr>
        <w:pStyle w:val="2"/>
        <w:spacing w:before="24" w:line="221" w:lineRule="auto"/>
        <w:rPr>
          <w:rFonts w:hint="default"/>
          <w:lang w:val="en-US"/>
        </w:rPr>
      </w:pPr>
      <w:r>
        <w:rPr>
          <w:rFonts w:ascii="Times New Roman" w:hAnsi="黑体" w:eastAsia="黑体" w:cs="黑体"/>
          <w:b/>
          <w:bCs/>
          <w:snapToGrid w:val="0"/>
          <w:color w:val="000000"/>
          <w:spacing w:val="4"/>
          <w:kern w:val="0"/>
          <w:sz w:val="12"/>
          <w:szCs w:val="12"/>
          <w:lang w:val="en-US" w:eastAsia="en-US" w:bidi="ar-SA"/>
        </w:rPr>
        <w:t>5.1 Descripción de la interfaz de detección</w:t>
      </w:r>
    </w:p>
    <w:p w14:paraId="4A0AFE5E">
      <w:pPr>
        <w:spacing w:line="99" w:lineRule="exact"/>
      </w:pPr>
    </w:p>
    <w:tbl>
      <w:tblPr>
        <w:tblStyle w:val="5"/>
        <w:tblW w:w="4590" w:type="dxa"/>
        <w:tblInd w:w="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3"/>
        <w:gridCol w:w="3737"/>
      </w:tblGrid>
      <w:tr w14:paraId="58CAB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0" w:hRule="atLeast"/>
        </w:trPr>
        <w:tc>
          <w:tcPr>
            <w:tcW w:w="4590" w:type="dxa"/>
            <w:gridSpan w:val="2"/>
            <w:vAlign w:val="top"/>
          </w:tcPr>
          <w:p w14:paraId="02677178">
            <w:pPr>
              <w:spacing w:before="44" w:line="1790" w:lineRule="exact"/>
              <w:ind w:firstLine="1135"/>
            </w:pPr>
            <w:r>
              <w:rPr>
                <w:position w:val="-35"/>
              </w:rPr>
              <w:drawing>
                <wp:inline distT="0" distB="0" distL="0" distR="0">
                  <wp:extent cx="1459865" cy="113601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47"/>
                          <a:stretch>
                            <a:fillRect/>
                          </a:stretch>
                        </pic:blipFill>
                        <pic:spPr>
                          <a:xfrm>
                            <a:off x="0" y="0"/>
                            <a:ext cx="1460476" cy="1136636"/>
                          </a:xfrm>
                          <a:prstGeom prst="rect">
                            <a:avLst/>
                          </a:prstGeom>
                        </pic:spPr>
                      </pic:pic>
                    </a:graphicData>
                  </a:graphic>
                </wp:inline>
              </w:drawing>
            </w:r>
          </w:p>
        </w:tc>
      </w:tr>
      <w:tr w14:paraId="3A56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2E359B83">
            <w:pPr>
              <w:pStyle w:val="6"/>
              <w:spacing w:before="40"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característica</w:t>
            </w:r>
          </w:p>
        </w:tc>
        <w:tc>
          <w:tcPr>
            <w:tcW w:w="3737" w:type="dxa"/>
            <w:vAlign w:val="top"/>
          </w:tcPr>
          <w:p w14:paraId="7A972472">
            <w:pPr>
              <w:pStyle w:val="6"/>
              <w:spacing w:before="40" w:line="219" w:lineRule="auto"/>
              <w:ind w:left="1732"/>
              <w:rPr>
                <w:rFonts w:hint="default"/>
                <w:lang w:val="en-US"/>
              </w:rPr>
            </w:pPr>
            <w:r>
              <w:rPr>
                <w:rFonts w:ascii="Times New Roman" w:hAnsi="宋体" w:eastAsia="宋体" w:cs="宋体"/>
                <w:snapToGrid w:val="0"/>
                <w:color w:val="000000"/>
                <w:spacing w:val="7"/>
                <w:kern w:val="0"/>
                <w:sz w:val="13"/>
                <w:szCs w:val="13"/>
                <w:lang w:val="en-US" w:eastAsia="en-US" w:bidi="ar-SA"/>
              </w:rPr>
              <w:t>explicación</w:t>
            </w:r>
          </w:p>
        </w:tc>
      </w:tr>
      <w:tr w14:paraId="0117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853" w:type="dxa"/>
            <w:vAlign w:val="top"/>
          </w:tcPr>
          <w:p w14:paraId="4EFD9C0C">
            <w:pPr>
              <w:pStyle w:val="6"/>
              <w:spacing w:before="55" w:line="219"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canal</w:t>
            </w:r>
          </w:p>
        </w:tc>
        <w:tc>
          <w:tcPr>
            <w:tcW w:w="3737" w:type="dxa"/>
            <w:vAlign w:val="top"/>
          </w:tcPr>
          <w:p w14:paraId="1D87D4A5">
            <w:pPr>
              <w:pStyle w:val="6"/>
              <w:spacing w:before="51" w:line="220" w:lineRule="auto"/>
              <w:ind w:left="1012"/>
              <w:rPr>
                <w:rFonts w:hint="default"/>
                <w:lang w:val="en-US"/>
              </w:rPr>
            </w:pPr>
            <w:r>
              <w:rPr>
                <w:rFonts w:ascii="Times New Roman" w:hAnsi="宋体" w:eastAsia="宋体" w:cs="宋体"/>
                <w:snapToGrid w:val="0"/>
                <w:color w:val="000000"/>
                <w:spacing w:val="-1"/>
                <w:kern w:val="0"/>
                <w:sz w:val="13"/>
                <w:szCs w:val="13"/>
                <w:lang w:val="en-US" w:eastAsia="en-US" w:bidi="ar-SA"/>
              </w:rPr>
              <w:t>Número de canal del detector conectado al controlador</w:t>
            </w:r>
          </w:p>
        </w:tc>
      </w:tr>
      <w:tr w14:paraId="4D414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158B34B7">
            <w:pPr>
              <w:pStyle w:val="6"/>
              <w:spacing w:before="42" w:line="221" w:lineRule="auto"/>
              <w:ind w:left="155"/>
              <w:rPr>
                <w:rFonts w:hint="default"/>
                <w:lang w:val="en-US"/>
              </w:rPr>
            </w:pPr>
            <w:r>
              <w:rPr>
                <w:rFonts w:ascii="Times New Roman" w:hAnsi="宋体" w:eastAsia="宋体" w:cs="宋体"/>
                <w:snapToGrid w:val="0"/>
                <w:color w:val="000000"/>
                <w:spacing w:val="-2"/>
                <w:kern w:val="0"/>
                <w:sz w:val="13"/>
                <w:szCs w:val="13"/>
                <w:lang w:val="en-US" w:eastAsia="en-US" w:bidi="ar-SA"/>
              </w:rPr>
              <w:t>Nombre del gas</w:t>
            </w:r>
          </w:p>
        </w:tc>
        <w:tc>
          <w:tcPr>
            <w:tcW w:w="3737" w:type="dxa"/>
            <w:vAlign w:val="top"/>
          </w:tcPr>
          <w:p w14:paraId="2FDD63EE">
            <w:pPr>
              <w:pStyle w:val="6"/>
              <w:spacing w:before="41" w:line="219" w:lineRule="auto"/>
              <w:ind w:left="1402"/>
              <w:rPr>
                <w:rFonts w:hint="default"/>
                <w:lang w:val="en-US"/>
              </w:rPr>
            </w:pPr>
            <w:r>
              <w:rPr>
                <w:rFonts w:ascii="Times New Roman" w:hAnsi="宋体" w:eastAsia="宋体" w:cs="宋体"/>
                <w:snapToGrid w:val="0"/>
                <w:color w:val="000000"/>
                <w:spacing w:val="-1"/>
                <w:kern w:val="0"/>
                <w:sz w:val="13"/>
                <w:szCs w:val="13"/>
                <w:lang w:val="en-US" w:eastAsia="en-US" w:bidi="ar-SA"/>
              </w:rPr>
              <w:t>Nombre del gas que se va a detectar</w:t>
            </w:r>
          </w:p>
        </w:tc>
      </w:tr>
      <w:tr w14:paraId="0A466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853" w:type="dxa"/>
            <w:vAlign w:val="top"/>
          </w:tcPr>
          <w:p w14:paraId="0951A3F5">
            <w:pPr>
              <w:pStyle w:val="6"/>
              <w:spacing w:before="42"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Concentración</w:t>
            </w:r>
          </w:p>
        </w:tc>
        <w:tc>
          <w:tcPr>
            <w:tcW w:w="3737" w:type="dxa"/>
            <w:vAlign w:val="top"/>
          </w:tcPr>
          <w:p w14:paraId="1F6E1A33">
            <w:pPr>
              <w:pStyle w:val="6"/>
              <w:spacing w:before="42" w:line="220" w:lineRule="auto"/>
              <w:ind w:left="1212"/>
              <w:rPr>
                <w:rFonts w:hint="default"/>
                <w:lang w:val="en-US"/>
              </w:rPr>
            </w:pPr>
            <w:r>
              <w:rPr>
                <w:rFonts w:ascii="Times New Roman" w:hAnsi="宋体" w:eastAsia="宋体" w:cs="宋体"/>
                <w:snapToGrid w:val="0"/>
                <w:color w:val="000000"/>
                <w:spacing w:val="-1"/>
                <w:kern w:val="0"/>
                <w:sz w:val="13"/>
                <w:szCs w:val="13"/>
                <w:lang w:val="en-US" w:eastAsia="en-US" w:bidi="ar-SA"/>
              </w:rPr>
              <w:t>Visualización de la concentración conectada al detector</w:t>
            </w:r>
          </w:p>
        </w:tc>
      </w:tr>
      <w:tr w14:paraId="509B8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853" w:type="dxa"/>
            <w:vAlign w:val="top"/>
          </w:tcPr>
          <w:p w14:paraId="0C2AEB22">
            <w:pPr>
              <w:pStyle w:val="6"/>
              <w:spacing w:before="52"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unidad</w:t>
            </w:r>
          </w:p>
        </w:tc>
        <w:tc>
          <w:tcPr>
            <w:tcW w:w="3737" w:type="dxa"/>
            <w:vAlign w:val="top"/>
          </w:tcPr>
          <w:p w14:paraId="3C854381">
            <w:pPr>
              <w:pStyle w:val="6"/>
              <w:spacing w:before="52" w:line="220" w:lineRule="auto"/>
              <w:ind w:left="1272"/>
              <w:rPr>
                <w:rFonts w:hint="default"/>
                <w:lang w:val="en-US"/>
              </w:rPr>
            </w:pPr>
            <w:r>
              <w:rPr>
                <w:rFonts w:ascii="Times New Roman" w:hAnsi="宋体" w:eastAsia="宋体" w:cs="宋体"/>
                <w:snapToGrid w:val="0"/>
                <w:color w:val="000000"/>
                <w:spacing w:val="-1"/>
                <w:kern w:val="0"/>
                <w:sz w:val="13"/>
                <w:szCs w:val="13"/>
                <w:lang w:val="en-US" w:eastAsia="en-US" w:bidi="ar-SA"/>
              </w:rPr>
              <w:t>Nombre de la unidad de medida del gas</w:t>
            </w:r>
          </w:p>
        </w:tc>
      </w:tr>
      <w:tr w14:paraId="5E0CD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7B1ABB6E">
            <w:pPr>
              <w:pStyle w:val="6"/>
              <w:spacing w:before="43" w:line="219"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estado</w:t>
            </w:r>
          </w:p>
        </w:tc>
        <w:tc>
          <w:tcPr>
            <w:tcW w:w="3737" w:type="dxa"/>
            <w:vAlign w:val="top"/>
          </w:tcPr>
          <w:p w14:paraId="4E29E375">
            <w:pPr>
              <w:pStyle w:val="6"/>
              <w:spacing w:before="43" w:line="219" w:lineRule="auto"/>
              <w:ind w:left="1212"/>
              <w:rPr>
                <w:rFonts w:hint="default"/>
                <w:lang w:val="en-US"/>
              </w:rPr>
            </w:pPr>
            <w:r>
              <w:rPr>
                <w:rFonts w:ascii="Times New Roman" w:hAnsi="宋体" w:eastAsia="宋体" w:cs="宋体"/>
                <w:snapToGrid w:val="0"/>
                <w:color w:val="000000"/>
                <w:spacing w:val="-1"/>
                <w:kern w:val="0"/>
                <w:sz w:val="13"/>
                <w:szCs w:val="13"/>
                <w:lang w:val="en-US" w:eastAsia="en-US" w:bidi="ar-SA"/>
              </w:rPr>
              <w:t>Compruebe el estado de funcionamiento del detector</w:t>
            </w:r>
          </w:p>
        </w:tc>
      </w:tr>
      <w:tr w14:paraId="0177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40EAF94B">
            <w:pPr>
              <w:pStyle w:val="6"/>
              <w:spacing w:before="55" w:line="204"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elemento</w:t>
            </w:r>
          </w:p>
        </w:tc>
        <w:tc>
          <w:tcPr>
            <w:tcW w:w="3737" w:type="dxa"/>
            <w:vAlign w:val="top"/>
          </w:tcPr>
          <w:p w14:paraId="6EC5C2B7">
            <w:pPr>
              <w:pStyle w:val="6"/>
              <w:spacing w:before="74" w:line="177" w:lineRule="auto"/>
              <w:ind w:left="952"/>
              <w:rPr>
                <w:rFonts w:hint="default"/>
                <w:lang w:val="en-US"/>
              </w:rPr>
            </w:pPr>
            <w:r>
              <w:rPr>
                <w:rFonts w:ascii="Times New Roman" w:hAnsi="宋体" w:eastAsia="宋体" w:cs="宋体"/>
                <w:snapToGrid w:val="0"/>
                <w:color w:val="000000"/>
                <w:spacing w:val="-1"/>
                <w:kern w:val="0"/>
                <w:sz w:val="13"/>
                <w:szCs w:val="13"/>
                <w:lang w:val="en-US" w:eastAsia="en-US" w:bidi="ar-SA"/>
              </w:rPr>
              <w:t>Numere los detectores según sus posiciones de instalación</w:t>
            </w:r>
          </w:p>
        </w:tc>
      </w:tr>
      <w:tr w14:paraId="7AD4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853" w:type="dxa"/>
            <w:vAlign w:val="top"/>
          </w:tcPr>
          <w:p w14:paraId="71BC0FAB">
            <w:pPr>
              <w:pStyle w:val="6"/>
              <w:spacing w:before="235" w:line="219" w:lineRule="auto"/>
              <w:ind w:left="155"/>
              <w:rPr>
                <w:rFonts w:hint="default"/>
                <w:lang w:val="en-US"/>
              </w:rPr>
            </w:pPr>
            <w:r>
              <w:rPr>
                <w:rFonts w:ascii="Times New Roman" w:hAnsi="宋体" w:eastAsia="宋体" w:cs="宋体"/>
                <w:snapToGrid w:val="0"/>
                <w:color w:val="000000"/>
                <w:spacing w:val="-2"/>
                <w:kern w:val="0"/>
                <w:sz w:val="13"/>
                <w:szCs w:val="13"/>
                <w:lang w:val="en-US" w:eastAsia="en-US" w:bidi="ar-SA"/>
              </w:rPr>
              <w:t>información del sistema</w:t>
            </w:r>
          </w:p>
        </w:tc>
        <w:tc>
          <w:tcPr>
            <w:tcW w:w="3737" w:type="dxa"/>
            <w:vAlign w:val="top"/>
          </w:tcPr>
          <w:p w14:paraId="30CCBDD0">
            <w:pPr>
              <w:pStyle w:val="6"/>
              <w:spacing w:before="85" w:line="219" w:lineRule="auto"/>
              <w:ind w:left="301"/>
              <w:rPr>
                <w:rFonts w:hint="default"/>
                <w:lang w:val="en-US"/>
              </w:rPr>
            </w:pPr>
            <w:r>
              <w:rPr>
                <w:rFonts w:ascii="Times New Roman" w:hAnsi="宋体" w:eastAsia="宋体" w:cs="宋体"/>
                <w:snapToGrid w:val="0"/>
                <w:color w:val="000000"/>
                <w:spacing w:val="2"/>
                <w:kern w:val="0"/>
                <w:sz w:val="13"/>
                <w:szCs w:val="13"/>
                <w:lang w:val="en-US" w:eastAsia="en-US" w:bidi="ar-SA"/>
              </w:rPr>
              <w:t>Estado de la tarjeta de memoria, hora actual, primer canal de alarma (el canal que activa la alarma más temprana)</w:t>
            </w:r>
          </w:p>
          <w:p w14:paraId="5A55E71D">
            <w:pPr>
              <w:pStyle w:val="6"/>
              <w:spacing w:before="25" w:line="219" w:lineRule="auto"/>
              <w:ind w:left="622"/>
              <w:rPr>
                <w:rFonts w:hint="default"/>
                <w:lang w:val="en-US"/>
              </w:rPr>
            </w:pPr>
            <w:r>
              <w:rPr>
                <w:rFonts w:ascii="Times New Roman" w:hAnsi="宋体" w:eastAsia="宋体" w:cs="宋体"/>
                <w:snapToGrid w:val="0"/>
                <w:color w:val="000000"/>
                <w:spacing w:val="-1"/>
                <w:kern w:val="0"/>
                <w:sz w:val="13"/>
                <w:szCs w:val="13"/>
                <w:lang w:val="en-US" w:eastAsia="en-US" w:bidi="ar-SA"/>
              </w:rPr>
              <w:t>Hora de la primera alarma (la hora del canal de alarma más temprana) y recuento total de alarmas</w:t>
            </w:r>
          </w:p>
          <w:p w14:paraId="34DDC42F">
            <w:pPr>
              <w:pStyle w:val="6"/>
              <w:spacing w:before="15" w:line="211" w:lineRule="auto"/>
              <w:ind w:left="1142"/>
              <w:rPr>
                <w:rFonts w:hint="default"/>
                <w:lang w:val="en-US"/>
              </w:rPr>
            </w:pPr>
            <w:r>
              <w:rPr>
                <w:rFonts w:ascii="Times New Roman" w:hAnsi="宋体" w:eastAsia="宋体" w:cs="宋体"/>
                <w:snapToGrid w:val="0"/>
                <w:color w:val="000000"/>
                <w:kern w:val="0"/>
                <w:sz w:val="13"/>
                <w:szCs w:val="13"/>
                <w:lang w:val="en-US" w:eastAsia="en-US" w:bidi="ar-SA"/>
              </w:rPr>
              <w:t>Número total de detectores en alarma mostrados</w:t>
            </w:r>
          </w:p>
        </w:tc>
      </w:tr>
    </w:tbl>
    <w:p w14:paraId="542F482C">
      <w:pPr>
        <w:pStyle w:val="2"/>
        <w:spacing w:before="97" w:line="221" w:lineRule="auto"/>
        <w:ind w:left="30"/>
        <w:rPr>
          <w:rFonts w:hint="default"/>
          <w:lang w:val="en-US"/>
        </w:rPr>
      </w:pPr>
      <w:r>
        <w:rPr>
          <w:rFonts w:ascii="Times New Roman" w:hAnsi="黑体" w:eastAsia="黑体" w:cs="黑体"/>
          <w:b/>
          <w:bCs/>
          <w:snapToGrid w:val="0"/>
          <w:color w:val="000000"/>
          <w:spacing w:val="4"/>
          <w:kern w:val="0"/>
          <w:sz w:val="12"/>
          <w:szCs w:val="12"/>
          <w:lang w:val="en-US" w:eastAsia="en-US" w:bidi="ar-SA"/>
        </w:rPr>
        <w:t>5.2 Descripción de los botones</w:t>
      </w:r>
    </w:p>
    <w:p w14:paraId="021582B0">
      <w:pPr>
        <w:spacing w:line="59" w:lineRule="exact"/>
      </w:pPr>
    </w:p>
    <w:tbl>
      <w:tblPr>
        <w:tblStyle w:val="5"/>
        <w:tblW w:w="4539" w:type="dxa"/>
        <w:tblInd w:w="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3816"/>
      </w:tblGrid>
      <w:tr w14:paraId="0081D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0" w:hRule="atLeast"/>
        </w:trPr>
        <w:tc>
          <w:tcPr>
            <w:tcW w:w="4539" w:type="dxa"/>
            <w:gridSpan w:val="2"/>
            <w:vAlign w:val="top"/>
          </w:tcPr>
          <w:p w14:paraId="5444C26F">
            <w:pPr>
              <w:spacing w:before="44" w:line="941" w:lineRule="exact"/>
              <w:ind w:firstLine="1204"/>
            </w:pPr>
            <w:r>
              <w:rPr>
                <w:position w:val="-18"/>
              </w:rPr>
              <w:drawing>
                <wp:inline distT="0" distB="0" distL="0" distR="0">
                  <wp:extent cx="1333500" cy="5969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48"/>
                          <a:stretch>
                            <a:fillRect/>
                          </a:stretch>
                        </pic:blipFill>
                        <pic:spPr>
                          <a:xfrm>
                            <a:off x="0" y="0"/>
                            <a:ext cx="1333504" cy="596936"/>
                          </a:xfrm>
                          <a:prstGeom prst="rect">
                            <a:avLst/>
                          </a:prstGeom>
                        </pic:spPr>
                      </pic:pic>
                    </a:graphicData>
                  </a:graphic>
                </wp:inline>
              </w:drawing>
            </w:r>
          </w:p>
        </w:tc>
      </w:tr>
      <w:tr w14:paraId="0EDA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2B438833">
            <w:pPr>
              <w:pStyle w:val="6"/>
              <w:spacing w:before="50" w:line="219" w:lineRule="auto"/>
              <w:ind w:left="224"/>
              <w:rPr>
                <w:rFonts w:hint="default"/>
                <w:lang w:val="en-US"/>
              </w:rPr>
            </w:pPr>
            <w:r>
              <w:rPr>
                <w:rFonts w:ascii="Times New Roman" w:hAnsi="宋体" w:eastAsia="宋体" w:cs="宋体"/>
                <w:snapToGrid w:val="0"/>
                <w:color w:val="000000"/>
                <w:spacing w:val="-2"/>
                <w:kern w:val="0"/>
                <w:sz w:val="13"/>
                <w:szCs w:val="13"/>
                <w:lang w:val="en-US" w:eastAsia="en-US" w:bidi="ar-SA"/>
              </w:rPr>
              <w:t>botón</w:t>
            </w:r>
          </w:p>
        </w:tc>
        <w:tc>
          <w:tcPr>
            <w:tcW w:w="3816" w:type="dxa"/>
            <w:vAlign w:val="top"/>
          </w:tcPr>
          <w:p w14:paraId="12FA917E">
            <w:pPr>
              <w:pStyle w:val="6"/>
              <w:spacing w:before="50" w:line="219" w:lineRule="auto"/>
              <w:ind w:left="1772"/>
              <w:rPr>
                <w:rFonts w:hint="default"/>
                <w:lang w:val="en-US"/>
              </w:rPr>
            </w:pPr>
            <w:r>
              <w:rPr>
                <w:rFonts w:ascii="Times New Roman" w:hAnsi="宋体" w:eastAsia="宋体" w:cs="宋体"/>
                <w:snapToGrid w:val="0"/>
                <w:color w:val="000000"/>
                <w:spacing w:val="7"/>
                <w:kern w:val="0"/>
                <w:sz w:val="13"/>
                <w:szCs w:val="13"/>
                <w:lang w:val="en-US" w:eastAsia="en-US" w:bidi="ar-SA"/>
              </w:rPr>
              <w:t>explicación</w:t>
            </w:r>
          </w:p>
        </w:tc>
      </w:tr>
      <w:tr w14:paraId="5A6BD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723" w:type="dxa"/>
            <w:vAlign w:val="top"/>
          </w:tcPr>
          <w:p w14:paraId="3A24B7D4">
            <w:pPr>
              <w:pStyle w:val="6"/>
              <w:spacing w:before="41" w:line="219" w:lineRule="auto"/>
              <w:ind w:left="95"/>
              <w:rPr>
                <w:rFonts w:hint="default"/>
                <w:lang w:val="en-US"/>
              </w:rPr>
            </w:pPr>
            <w:r>
              <w:rPr>
                <w:rFonts w:ascii="Times New Roman" w:hAnsi="宋体" w:eastAsia="宋体" w:cs="宋体"/>
                <w:snapToGrid w:val="0"/>
                <w:color w:val="000000"/>
                <w:spacing w:val="-1"/>
                <w:kern w:val="0"/>
                <w:sz w:val="13"/>
                <w:szCs w:val="13"/>
                <w:lang w:val="en-US" w:eastAsia="en-US" w:bidi="ar-SA"/>
              </w:rPr>
              <w:t>Botones de menú</w:t>
            </w:r>
          </w:p>
        </w:tc>
        <w:tc>
          <w:tcPr>
            <w:tcW w:w="3816" w:type="dxa"/>
            <w:vAlign w:val="top"/>
          </w:tcPr>
          <w:p w14:paraId="15D23EC0">
            <w:pPr>
              <w:pStyle w:val="6"/>
              <w:spacing w:before="41"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Acceda a la interfaz de menú (contraseña "1111")</w:t>
            </w:r>
          </w:p>
        </w:tc>
      </w:tr>
      <w:tr w14:paraId="227F4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12CFAE0F">
            <w:pPr>
              <w:pStyle w:val="6"/>
              <w:spacing w:before="53" w:line="221" w:lineRule="auto"/>
              <w:ind w:left="54"/>
              <w:rPr>
                <w:rFonts w:hint="default"/>
                <w:lang w:val="en-US"/>
              </w:rPr>
            </w:pPr>
            <w:r>
              <w:rPr>
                <w:rFonts w:ascii="Times New Roman" w:hAnsi="宋体" w:eastAsia="宋体" w:cs="宋体"/>
                <w:snapToGrid w:val="0"/>
                <w:color w:val="000000"/>
                <w:spacing w:val="-1"/>
                <w:kern w:val="0"/>
                <w:sz w:val="13"/>
                <w:szCs w:val="13"/>
                <w:lang w:val="en-US" w:eastAsia="en-US" w:bidi="ar-SA"/>
              </w:rPr>
              <w:t>Teclas de flecha arriba/abajo</w:t>
            </w:r>
          </w:p>
        </w:tc>
        <w:tc>
          <w:tcPr>
            <w:tcW w:w="3816" w:type="dxa"/>
            <w:vAlign w:val="top"/>
          </w:tcPr>
          <w:p w14:paraId="35739434">
            <w:pPr>
              <w:pStyle w:val="6"/>
              <w:spacing w:before="52"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Detecte múltiples estados de pico (tres o más gases) después de cambiar de interfaz y desplazarse hacia arriba/abajo</w:t>
            </w:r>
          </w:p>
        </w:tc>
      </w:tr>
      <w:tr w14:paraId="5119E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348A1638">
            <w:pPr>
              <w:pStyle w:val="6"/>
              <w:spacing w:before="53" w:line="219" w:lineRule="auto"/>
              <w:ind w:left="95"/>
              <w:rPr>
                <w:rFonts w:hint="default"/>
                <w:lang w:val="en-US"/>
              </w:rPr>
            </w:pPr>
            <w:r>
              <w:rPr>
                <w:rFonts w:ascii="Times New Roman" w:hAnsi="宋体" w:eastAsia="宋体" w:cs="宋体"/>
                <w:snapToGrid w:val="0"/>
                <w:color w:val="000000"/>
                <w:spacing w:val="-2"/>
                <w:kern w:val="0"/>
                <w:sz w:val="13"/>
                <w:szCs w:val="13"/>
                <w:lang w:val="en-US" w:eastAsia="en-US" w:bidi="ar-SA"/>
              </w:rPr>
              <w:t>Botón de consulta</w:t>
            </w:r>
          </w:p>
        </w:tc>
        <w:tc>
          <w:tcPr>
            <w:tcW w:w="3816" w:type="dxa"/>
            <w:vAlign w:val="top"/>
          </w:tcPr>
          <w:p w14:paraId="125194DC">
            <w:pPr>
              <w:pStyle w:val="6"/>
              <w:spacing w:before="53"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Puede acceder a la interfaz de consulta del registro histórico de alarmas. Pulse el botón de menú para volver a la interfaz inicial.</w:t>
            </w:r>
          </w:p>
        </w:tc>
      </w:tr>
      <w:tr w14:paraId="296D5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 w:hRule="atLeast"/>
        </w:trPr>
        <w:tc>
          <w:tcPr>
            <w:tcW w:w="723" w:type="dxa"/>
            <w:vAlign w:val="top"/>
          </w:tcPr>
          <w:p w14:paraId="6E2F22AC">
            <w:pPr>
              <w:pStyle w:val="6"/>
              <w:spacing w:before="44" w:line="219" w:lineRule="auto"/>
              <w:ind w:left="95"/>
              <w:rPr>
                <w:rFonts w:hint="default"/>
                <w:lang w:val="en-US"/>
              </w:rPr>
            </w:pPr>
            <w:r>
              <w:rPr>
                <w:rFonts w:ascii="Times New Roman" w:hAnsi="宋体" w:eastAsia="宋体" w:cs="宋体"/>
                <w:snapToGrid w:val="0"/>
                <w:color w:val="000000"/>
                <w:spacing w:val="-1"/>
                <w:kern w:val="0"/>
                <w:sz w:val="13"/>
                <w:szCs w:val="13"/>
                <w:lang w:val="en-US" w:eastAsia="en-US" w:bidi="ar-SA"/>
              </w:rPr>
              <w:t>Tecla de alternancia</w:t>
            </w:r>
          </w:p>
        </w:tc>
        <w:tc>
          <w:tcPr>
            <w:tcW w:w="3816" w:type="dxa"/>
            <w:vAlign w:val="top"/>
          </w:tcPr>
          <w:p w14:paraId="1B0983CD">
            <w:pPr>
              <w:pStyle w:val="6"/>
              <w:spacing w:before="43" w:line="219" w:lineRule="auto"/>
              <w:jc w:val="right"/>
              <w:rPr>
                <w:rFonts w:hint="default"/>
                <w:lang w:val="en-US"/>
              </w:rPr>
            </w:pPr>
            <w:r>
              <w:rPr>
                <w:rFonts w:ascii="Times New Roman" w:hAnsi="宋体" w:eastAsia="宋体" w:cs="宋体"/>
                <w:snapToGrid w:val="0"/>
                <w:color w:val="000000"/>
                <w:spacing w:val="-2"/>
                <w:kern w:val="0"/>
                <w:sz w:val="13"/>
                <w:szCs w:val="13"/>
                <w:lang w:val="en-US" w:eastAsia="en-US" w:bidi="ar-SA"/>
              </w:rPr>
              <w:t>Alterne el modo de visualización. Pulse las teclas arriba/abajo para ver varios tipos de gas (tres o más) durante la detección.</w:t>
            </w:r>
          </w:p>
        </w:tc>
      </w:tr>
    </w:tbl>
    <w:p w14:paraId="288E4D3A">
      <w:pPr>
        <w:spacing w:line="225" w:lineRule="exact"/>
        <w:rPr>
          <w:rFonts w:ascii="Arial"/>
          <w:sz w:val="19"/>
        </w:rPr>
      </w:pPr>
    </w:p>
    <w:p w14:paraId="6233B3CB">
      <w:pPr>
        <w:spacing w:line="225" w:lineRule="exact"/>
        <w:rPr>
          <w:rFonts w:ascii="Arial" w:hAnsi="Arial" w:eastAsia="Arial" w:cs="Arial"/>
          <w:sz w:val="19"/>
          <w:szCs w:val="19"/>
        </w:rPr>
        <w:sectPr>
          <w:footerReference r:id="rId13" w:type="default"/>
          <w:pgSz w:w="6030" w:h="8300"/>
          <w:pgMar w:top="697" w:right="654" w:bottom="539" w:left="721" w:header="0" w:footer="449" w:gutter="0"/>
          <w:cols w:space="720" w:num="1"/>
        </w:sectPr>
      </w:pPr>
    </w:p>
    <w:p w14:paraId="3F1F7F0E">
      <w:pPr>
        <w:spacing w:line="99" w:lineRule="auto"/>
        <w:rPr>
          <w:rFonts w:ascii="Arial"/>
          <w:sz w:val="2"/>
        </w:rPr>
      </w:pPr>
    </w:p>
    <w:tbl>
      <w:tblPr>
        <w:tblStyle w:val="5"/>
        <w:tblW w:w="4539"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3816"/>
      </w:tblGrid>
      <w:tr w14:paraId="41556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23" w:type="dxa"/>
            <w:vAlign w:val="top"/>
          </w:tcPr>
          <w:p w14:paraId="23BBC097">
            <w:pPr>
              <w:pStyle w:val="6"/>
              <w:spacing w:before="50" w:line="219" w:lineRule="auto"/>
              <w:ind w:left="114"/>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un botón de borrado</w:t>
            </w:r>
          </w:p>
        </w:tc>
        <w:tc>
          <w:tcPr>
            <w:tcW w:w="3816" w:type="dxa"/>
            <w:vAlign w:val="top"/>
          </w:tcPr>
          <w:p w14:paraId="36D8B4AB">
            <w:pPr>
              <w:pStyle w:val="6"/>
              <w:spacing w:before="50" w:line="219" w:lineRule="auto"/>
              <w:jc w:val="right"/>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Después de que se active el sonido de alarma, pulse el botón de silencio. La luz roja se encenderá y el sonido se detendrá hasta que se active la siguiente alarma.</w:t>
            </w:r>
          </w:p>
        </w:tc>
      </w:tr>
      <w:tr w14:paraId="3A5EF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 w:hRule="atLeast"/>
        </w:trPr>
        <w:tc>
          <w:tcPr>
            <w:tcW w:w="723" w:type="dxa"/>
            <w:vAlign w:val="top"/>
          </w:tcPr>
          <w:p w14:paraId="63CA4205">
            <w:pPr>
              <w:pStyle w:val="6"/>
              <w:spacing w:before="48" w:line="219" w:lineRule="auto"/>
              <w:ind w:left="114"/>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Botón de reinicio</w:t>
            </w:r>
          </w:p>
        </w:tc>
        <w:tc>
          <w:tcPr>
            <w:tcW w:w="3816" w:type="dxa"/>
            <w:vAlign w:val="top"/>
          </w:tcPr>
          <w:p w14:paraId="47D5624E">
            <w:pPr>
              <w:pStyle w:val="6"/>
              <w:spacing w:before="48" w:line="219" w:lineRule="auto"/>
              <w:ind w:left="42"/>
              <w:rPr>
                <w:rFonts w:hint="default"/>
                <w:sz w:val="12"/>
                <w:szCs w:val="12"/>
                <w:lang w:val="en-US"/>
              </w:rPr>
            </w:pPr>
            <w:r>
              <w:rPr>
                <w:rFonts w:ascii="Times New Roman" w:hAnsi="宋体" w:eastAsia="宋体" w:cs="宋体"/>
                <w:snapToGrid w:val="0"/>
                <w:color w:val="000000"/>
                <w:kern w:val="0"/>
                <w:sz w:val="12"/>
                <w:szCs w:val="12"/>
                <w:lang w:val="en-US" w:eastAsia="en-US" w:bidi="ar-SA"/>
              </w:rPr>
              <w:t>Una vez que el punto de alarma vuelva a la normalidad, pulse el botón de reinicio para restaurar la interfaz de detección normal (contraseña "2222").</w:t>
            </w:r>
          </w:p>
        </w:tc>
      </w:tr>
      <w:tr w14:paraId="3E5E9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23" w:type="dxa"/>
            <w:vAlign w:val="top"/>
          </w:tcPr>
          <w:p w14:paraId="178F7A26">
            <w:pPr>
              <w:pStyle w:val="6"/>
              <w:spacing w:before="52" w:line="219" w:lineRule="auto"/>
              <w:ind w:left="114"/>
              <w:rPr>
                <w:rFonts w:hint="default"/>
                <w:sz w:val="12"/>
                <w:szCs w:val="12"/>
                <w:lang w:val="en-US"/>
              </w:rPr>
            </w:pPr>
            <w:r>
              <w:rPr>
                <w:rFonts w:ascii="Times New Roman" w:hAnsi="宋体" w:eastAsia="宋体" w:cs="宋体"/>
                <w:snapToGrid w:val="0"/>
                <w:color w:val="000000"/>
                <w:spacing w:val="1"/>
                <w:kern w:val="0"/>
                <w:sz w:val="12"/>
                <w:szCs w:val="12"/>
                <w:lang w:val="en-US" w:eastAsia="en-US" w:bidi="ar-SA"/>
              </w:rPr>
              <w:t>Botón de autocomprobación</w:t>
            </w:r>
          </w:p>
        </w:tc>
        <w:tc>
          <w:tcPr>
            <w:tcW w:w="3816" w:type="dxa"/>
            <w:vAlign w:val="top"/>
          </w:tcPr>
          <w:p w14:paraId="55AAB2C4">
            <w:pPr>
              <w:pStyle w:val="6"/>
              <w:spacing w:before="52" w:line="219" w:lineRule="auto"/>
              <w:ind w:left="102"/>
              <w:rPr>
                <w:rFonts w:hint="default"/>
                <w:sz w:val="12"/>
                <w:szCs w:val="12"/>
                <w:lang w:val="en-US"/>
              </w:rPr>
            </w:pPr>
            <w:r>
              <w:rPr>
                <w:rFonts w:ascii="Times New Roman" w:hAnsi="宋体" w:eastAsia="宋体" w:cs="宋体"/>
                <w:snapToGrid w:val="0"/>
                <w:color w:val="000000"/>
                <w:kern w:val="0"/>
                <w:sz w:val="12"/>
                <w:szCs w:val="12"/>
                <w:lang w:val="en-US" w:eastAsia="en-US" w:bidi="ar-SA"/>
              </w:rPr>
              <w:t>Detecta automáticamente los parámetros y los dispositivos de hardware; activa una alarma cuando la autocomprobación detecta problemas (contraseña "2222")</w:t>
            </w:r>
          </w:p>
        </w:tc>
      </w:tr>
    </w:tbl>
    <w:p w14:paraId="1BB060F5">
      <w:pPr>
        <w:spacing w:before="128" w:line="219" w:lineRule="auto"/>
        <w:ind w:left="11"/>
        <w:rPr>
          <w:rFonts w:hint="default" w:ascii="宋体" w:hAnsi="宋体" w:eastAsia="宋体" w:cs="宋体"/>
          <w:sz w:val="12"/>
          <w:szCs w:val="12"/>
          <w:lang w:val="en-US"/>
        </w:rPr>
      </w:pPr>
      <w:r>
        <w:rPr>
          <w:rFonts w:ascii="Times New Roman" w:hAnsi="宋体" w:eastAsia="宋体" w:cs="宋体"/>
          <w:b/>
          <w:bCs/>
          <w:snapToGrid w:val="0"/>
          <w:color w:val="000000"/>
          <w:spacing w:val="-2"/>
          <w:kern w:val="0"/>
          <w:sz w:val="12"/>
          <w:szCs w:val="12"/>
          <w:lang w:val="en-US" w:eastAsia="en-US" w:bidi="ar-SA"/>
        </w:rPr>
        <w:t>5.3 Descripción de las luces indicadoras</w:t>
      </w:r>
    </w:p>
    <w:p w14:paraId="57A2299B">
      <w:pPr>
        <w:spacing w:line="19" w:lineRule="exact"/>
      </w:pPr>
    </w:p>
    <w:tbl>
      <w:tblPr>
        <w:tblStyle w:val="5"/>
        <w:tblW w:w="4533"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7"/>
        <w:gridCol w:w="3816"/>
      </w:tblGrid>
      <w:tr w14:paraId="4A691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4533" w:type="dxa"/>
            <w:gridSpan w:val="2"/>
            <w:vAlign w:val="top"/>
          </w:tcPr>
          <w:p w14:paraId="02D2D513">
            <w:pPr>
              <w:pStyle w:val="6"/>
              <w:spacing w:before="75" w:line="979" w:lineRule="exact"/>
              <w:ind w:firstLine="1048"/>
            </w:pPr>
            <w:r>
              <w:rPr>
                <w:position w:val="-19"/>
              </w:rPr>
              <w:pict>
                <v:group id="_x0000_s1035" o:spid="_x0000_s1035" o:spt="203" style="height:49pt;width:130.55pt;" coordsize="2611,980">
                  <o:lock v:ext="edit"/>
                  <v:shape id="_x0000_s1036" o:spid="_x0000_s1036" o:spt="75" type="#_x0000_t75" style="position:absolute;left:0;top:0;height:980;width:2611;" filled="f" stroked="f" coordsize="21600,21600">
                    <v:path/>
                    <v:fill on="f" focussize="0,0"/>
                    <v:stroke on="f"/>
                    <v:imagedata r:id="rId49" o:title=""/>
                    <o:lock v:ext="edit" aspectratio="t"/>
                  </v:shape>
                  <v:shape id="_x0000_s1037" o:spid="_x0000_s1037" o:spt="202" type="#_x0000_t202" style="position:absolute;left:-20;top:-20;height:1020;width:2651;" filled="f" stroked="f" coordsize="21600,21600">
                    <v:path/>
                    <v:fill on="f" focussize="0,0"/>
                    <v:stroke on="f"/>
                    <v:imagedata o:title=""/>
                    <o:lock v:ext="edit" aspectratio="f"/>
                    <v:textbox inset="0mm,0mm,0mm,0mm">
                      <w:txbxContent>
                        <w:p w14:paraId="5A051246">
                          <w:pPr>
                            <w:spacing w:line="309" w:lineRule="auto"/>
                            <w:rPr>
                              <w:rFonts w:ascii="Arial"/>
                              <w:sz w:val="21"/>
                              <w:highlight w:val="yellow"/>
                            </w:rPr>
                          </w:pPr>
                        </w:p>
                        <w:p w14:paraId="13D42DED">
                          <w:pPr>
                            <w:spacing w:before="33" w:line="222" w:lineRule="auto"/>
                            <w:ind w:left="679"/>
                            <w:rPr>
                              <w:rFonts w:hint="default" w:ascii="宋体" w:hAnsi="宋体" w:eastAsia="宋体" w:cs="宋体"/>
                              <w:sz w:val="10"/>
                              <w:szCs w:val="10"/>
                              <w:highlight w:val="yellow"/>
                              <w:lang w:val="en-US"/>
                            </w:rPr>
                          </w:pPr>
                          <w:r>
                            <w:rPr>
                              <w:rFonts w:ascii="Times New Roman" w:hAnsi="宋体" w:eastAsia="宋体" w:cs="宋体"/>
                              <w:snapToGrid w:val="0"/>
                              <w:color w:val="FFFFFF"/>
                              <w:spacing w:val="-1"/>
                              <w:kern w:val="0"/>
                              <w:position w:val="1"/>
                              <w:sz w:val="10"/>
                              <w:szCs w:val="10"/>
                              <w:highlight w:val="yellow"/>
                              <w:lang w:val="en-US" w:eastAsia="en-US" w:bidi="ar-SA"/>
                            </w:rPr>
                            <w:t>Fallo de la alimentación principal, activación de la alimentación de reserva, fallo de la alimentación de supervisión, indicación de carga</w:t>
                          </w:r>
                        </w:p>
                        <w:p w14:paraId="37AA3B25">
                          <w:pPr>
                            <w:tabs>
                              <w:tab w:val="left" w:pos="1326"/>
                            </w:tabs>
                            <w:spacing w:before="239" w:line="238" w:lineRule="auto"/>
                            <w:ind w:left="1119"/>
                            <w:rPr>
                              <w:rFonts w:hint="default" w:ascii="宋体" w:hAnsi="宋体" w:eastAsia="宋体" w:cs="宋体"/>
                              <w:sz w:val="10"/>
                              <w:szCs w:val="10"/>
                              <w:highlight w:val="yellow"/>
                              <w:lang w:val="en-US"/>
                            </w:rPr>
                          </w:pPr>
                          <w:r>
                            <w:rPr>
                              <w:rFonts w:ascii="Times New Roman" w:hAnsi="宋体" w:eastAsia="宋体" w:cs="宋体"/>
                              <w:snapToGrid w:val="0"/>
                              <w:color w:val="FFFFFF"/>
                              <w:spacing w:val="-1"/>
                              <w:kern w:val="0"/>
                              <w:sz w:val="10"/>
                              <w:szCs w:val="10"/>
                              <w:highlight w:val="yellow"/>
                              <w:lang w:val="en-US" w:eastAsia="en-US" w:bidi="ar-SA"/>
                            </w:rPr>
                            <w:tab/>
                          </w:r>
                          <w:r>
                            <w:rPr>
                              <w:rFonts w:ascii="Times New Roman" w:hAnsi="宋体" w:eastAsia="宋体" w:cs="宋体"/>
                              <w:snapToGrid w:val="0"/>
                              <w:color w:val="FFFFFF"/>
                              <w:spacing w:val="-1"/>
                              <w:kern w:val="0"/>
                              <w:sz w:val="10"/>
                              <w:szCs w:val="10"/>
                              <w:highlight w:val="yellow"/>
                              <w:lang w:val="en-US" w:eastAsia="en-US" w:bidi="ar-SA"/>
                            </w:rPr>
                            <w:t>Fallo de idioma y señalización Indicación de liberación y eliminación de fallo del sistema</w:t>
                          </w:r>
                        </w:p>
                      </w:txbxContent>
                    </v:textbox>
                  </v:shape>
                  <w10:wrap type="none"/>
                  <w10:anchorlock/>
                </v:group>
              </w:pict>
            </w:r>
          </w:p>
        </w:tc>
      </w:tr>
      <w:tr w14:paraId="56A0E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46790C3F">
            <w:pPr>
              <w:pStyle w:val="6"/>
              <w:spacing w:before="48" w:line="220" w:lineRule="auto"/>
              <w:ind w:left="218"/>
              <w:rPr>
                <w:rFonts w:hint="default"/>
                <w:lang w:val="en-US"/>
              </w:rPr>
            </w:pPr>
            <w:r>
              <w:rPr>
                <w:rFonts w:ascii="Times New Roman" w:hAnsi="宋体" w:eastAsia="宋体" w:cs="宋体"/>
                <w:snapToGrid w:val="0"/>
                <w:color w:val="000000"/>
                <w:spacing w:val="-2"/>
                <w:kern w:val="0"/>
                <w:sz w:val="13"/>
                <w:szCs w:val="13"/>
                <w:lang w:val="en-US" w:eastAsia="en-US" w:bidi="ar-SA"/>
              </w:rPr>
              <w:t>característica</w:t>
            </w:r>
          </w:p>
        </w:tc>
        <w:tc>
          <w:tcPr>
            <w:tcW w:w="3816" w:type="dxa"/>
            <w:vAlign w:val="top"/>
          </w:tcPr>
          <w:p w14:paraId="0BF4C03E">
            <w:pPr>
              <w:pStyle w:val="6"/>
              <w:spacing w:before="48" w:line="219" w:lineRule="auto"/>
              <w:ind w:left="1781"/>
              <w:rPr>
                <w:rFonts w:hint="default"/>
                <w:lang w:val="en-US"/>
              </w:rPr>
            </w:pPr>
            <w:r>
              <w:rPr>
                <w:rFonts w:ascii="Times New Roman" w:hAnsi="宋体" w:eastAsia="宋体" w:cs="宋体"/>
                <w:snapToGrid w:val="0"/>
                <w:color w:val="000000"/>
                <w:spacing w:val="7"/>
                <w:kern w:val="0"/>
                <w:sz w:val="13"/>
                <w:szCs w:val="13"/>
                <w:lang w:val="en-US" w:eastAsia="en-US" w:bidi="ar-SA"/>
              </w:rPr>
              <w:t>explicación</w:t>
            </w:r>
          </w:p>
        </w:tc>
      </w:tr>
      <w:tr w14:paraId="08660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7A1AFF9A">
            <w:pPr>
              <w:pStyle w:val="6"/>
              <w:spacing w:before="39"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Alimentación principal normal</w:t>
            </w:r>
          </w:p>
        </w:tc>
        <w:tc>
          <w:tcPr>
            <w:tcW w:w="3816" w:type="dxa"/>
            <w:vAlign w:val="top"/>
          </w:tcPr>
          <w:p w14:paraId="29659183">
            <w:pPr>
              <w:pStyle w:val="6"/>
              <w:spacing w:before="39"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En condiciones normales de funcionamiento, la luz indicadora verde permanece encendida.</w:t>
            </w:r>
          </w:p>
        </w:tc>
      </w:tr>
      <w:tr w14:paraId="4A742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6158BBF7">
            <w:pPr>
              <w:pStyle w:val="6"/>
              <w:spacing w:before="49"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Fallo de la alimentación principal</w:t>
            </w:r>
          </w:p>
        </w:tc>
        <w:tc>
          <w:tcPr>
            <w:tcW w:w="3816" w:type="dxa"/>
            <w:vAlign w:val="top"/>
          </w:tcPr>
          <w:p w14:paraId="2D9E9E72">
            <w:pPr>
              <w:pStyle w:val="6"/>
              <w:spacing w:before="49"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La luz indicadora amarilla permanece encendida tras desconectarse la alimentación principal (se apaga cuando se restablece la alimentación principal).</w:t>
            </w:r>
          </w:p>
        </w:tc>
      </w:tr>
      <w:tr w14:paraId="711D6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3DE76208">
            <w:pPr>
              <w:pStyle w:val="6"/>
              <w:spacing w:before="50"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La alimentación de reserva funciona con normalidad</w:t>
            </w:r>
          </w:p>
        </w:tc>
        <w:tc>
          <w:tcPr>
            <w:tcW w:w="3816" w:type="dxa"/>
            <w:vAlign w:val="top"/>
          </w:tcPr>
          <w:p w14:paraId="0345D833">
            <w:pPr>
              <w:pStyle w:val="6"/>
              <w:spacing w:before="50"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En condiciones normales de funcionamiento, la luz indicadora verde permanece encendida.</w:t>
            </w:r>
          </w:p>
        </w:tc>
      </w:tr>
      <w:tr w14:paraId="463EC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712B5628">
            <w:pPr>
              <w:pStyle w:val="6"/>
              <w:spacing w:before="41"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Fallo de la alimentación de reserva</w:t>
            </w:r>
          </w:p>
        </w:tc>
        <w:tc>
          <w:tcPr>
            <w:tcW w:w="3816" w:type="dxa"/>
            <w:vAlign w:val="top"/>
          </w:tcPr>
          <w:p w14:paraId="79380340">
            <w:pPr>
              <w:pStyle w:val="6"/>
              <w:spacing w:before="41"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La luz indicadora amarilla permanece encendida tras desconectarse la alimentación de reserva (se apaga cuando se restablece la alimentación de reserva).</w:t>
            </w:r>
          </w:p>
        </w:tc>
      </w:tr>
      <w:tr w14:paraId="63B39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5D16FD81">
            <w:pPr>
              <w:pStyle w:val="6"/>
              <w:spacing w:before="51"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indicador de carga</w:t>
            </w:r>
          </w:p>
        </w:tc>
        <w:tc>
          <w:tcPr>
            <w:tcW w:w="3816" w:type="dxa"/>
            <w:vAlign w:val="top"/>
          </w:tcPr>
          <w:p w14:paraId="4E429B10">
            <w:pPr>
              <w:pStyle w:val="6"/>
              <w:spacing w:before="51"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El indicador de la alimentación de reserva no se ilumina cuando está completamente cargada, pero parpadea en rojo durante la carga.</w:t>
            </w:r>
          </w:p>
        </w:tc>
      </w:tr>
      <w:tr w14:paraId="2D31A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0E056198">
            <w:pPr>
              <w:pStyle w:val="6"/>
              <w:spacing w:before="52"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Alarma de primer nivel</w:t>
            </w:r>
          </w:p>
        </w:tc>
        <w:tc>
          <w:tcPr>
            <w:tcW w:w="3816" w:type="dxa"/>
            <w:vAlign w:val="top"/>
          </w:tcPr>
          <w:p w14:paraId="1C097161">
            <w:pPr>
              <w:pStyle w:val="6"/>
              <w:spacing w:before="52"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Cuando la concentración del detector supera el 20% del límite inferior de explosividad (LEL), la luz indicadora roja permanece encendida.</w:t>
            </w:r>
          </w:p>
        </w:tc>
      </w:tr>
      <w:tr w14:paraId="67A33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2C6A30AE">
            <w:pPr>
              <w:pStyle w:val="6"/>
              <w:spacing w:before="43"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Alarma de segundo nivel</w:t>
            </w:r>
          </w:p>
        </w:tc>
        <w:tc>
          <w:tcPr>
            <w:tcW w:w="3816" w:type="dxa"/>
            <w:vAlign w:val="top"/>
          </w:tcPr>
          <w:p w14:paraId="077559FA">
            <w:pPr>
              <w:pStyle w:val="6"/>
              <w:spacing w:before="43"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La luz indicadora roja permanece encendida cuando la concentración del detector supera el 50% del límite inferior de explosividad (LEL).</w:t>
            </w:r>
          </w:p>
        </w:tc>
      </w:tr>
      <w:tr w14:paraId="0CF52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48878FD3">
            <w:pPr>
              <w:pStyle w:val="6"/>
              <w:spacing w:before="53" w:line="219" w:lineRule="auto"/>
              <w:ind w:left="88"/>
              <w:rPr>
                <w:rFonts w:hint="default"/>
                <w:lang w:val="en-US"/>
              </w:rPr>
            </w:pPr>
            <w:r>
              <w:rPr>
                <w:rFonts w:ascii="Times New Roman" w:hAnsi="宋体" w:eastAsia="宋体" w:cs="宋体"/>
                <w:snapToGrid w:val="0"/>
                <w:color w:val="000000"/>
                <w:spacing w:val="-1"/>
                <w:kern w:val="0"/>
                <w:sz w:val="13"/>
                <w:szCs w:val="13"/>
                <w:lang w:val="en-US" w:eastAsia="en-US" w:bidi="ar-SA"/>
              </w:rPr>
              <w:t>Fallo de comunicación</w:t>
            </w:r>
          </w:p>
        </w:tc>
        <w:tc>
          <w:tcPr>
            <w:tcW w:w="3816" w:type="dxa"/>
            <w:vAlign w:val="top"/>
          </w:tcPr>
          <w:p w14:paraId="2B461894">
            <w:pPr>
              <w:pStyle w:val="6"/>
              <w:spacing w:before="53"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La luz indicadora amarilla permanece encendida cuando el detector se desconecta.</w:t>
            </w:r>
          </w:p>
        </w:tc>
      </w:tr>
      <w:tr w14:paraId="4FA57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717" w:type="dxa"/>
            <w:vAlign w:val="top"/>
          </w:tcPr>
          <w:p w14:paraId="2EE9C93B">
            <w:pPr>
              <w:pStyle w:val="6"/>
              <w:spacing w:before="44"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fallo del sistema</w:t>
            </w:r>
          </w:p>
        </w:tc>
        <w:tc>
          <w:tcPr>
            <w:tcW w:w="3816" w:type="dxa"/>
            <w:vAlign w:val="top"/>
          </w:tcPr>
          <w:p w14:paraId="219D0111">
            <w:pPr>
              <w:pStyle w:val="6"/>
              <w:spacing w:before="44"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La luz indicadora amarilla permanece encendida cuando el controlador emite cualquier tipo de señal de fallo.</w:t>
            </w:r>
          </w:p>
        </w:tc>
      </w:tr>
      <w:tr w14:paraId="4051D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 w:hRule="atLeast"/>
        </w:trPr>
        <w:tc>
          <w:tcPr>
            <w:tcW w:w="717" w:type="dxa"/>
            <w:vAlign w:val="top"/>
          </w:tcPr>
          <w:p w14:paraId="066B8B6D">
            <w:pPr>
              <w:pStyle w:val="6"/>
              <w:spacing w:before="56" w:line="221"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Indicación de silenciador</w:t>
            </w:r>
          </w:p>
        </w:tc>
        <w:tc>
          <w:tcPr>
            <w:tcW w:w="3816" w:type="dxa"/>
            <w:vAlign w:val="top"/>
          </w:tcPr>
          <w:p w14:paraId="0C8F4FD9">
            <w:pPr>
              <w:pStyle w:val="6"/>
              <w:spacing w:before="55"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El controlador emite un sonido de alarma y la luz indicadora roja permanece encendida tras la supresión del ruido.</w:t>
            </w:r>
          </w:p>
        </w:tc>
      </w:tr>
    </w:tbl>
    <w:p w14:paraId="562A0E6E">
      <w:pPr>
        <w:pStyle w:val="2"/>
        <w:spacing w:before="117" w:line="221" w:lineRule="auto"/>
        <w:ind w:left="11"/>
        <w:rPr>
          <w:rFonts w:hint="default"/>
          <w:lang w:val="en-US"/>
        </w:rPr>
      </w:pPr>
      <w:r>
        <w:rPr>
          <w:rFonts w:ascii="Times New Roman" w:hAnsi="黑体" w:eastAsia="黑体" w:cs="黑体"/>
          <w:b/>
          <w:bCs/>
          <w:snapToGrid w:val="0"/>
          <w:color w:val="000000"/>
          <w:spacing w:val="4"/>
          <w:kern w:val="0"/>
          <w:sz w:val="12"/>
          <w:szCs w:val="12"/>
          <w:lang w:val="en-US" w:eastAsia="en-US" w:bidi="ar-SA"/>
        </w:rPr>
        <w:t>5.4 Descripción de las funciones del menú</w:t>
      </w:r>
    </w:p>
    <w:p w14:paraId="3207C5C4">
      <w:pPr>
        <w:pStyle w:val="2"/>
        <w:spacing w:before="63" w:line="293" w:lineRule="auto"/>
        <w:ind w:right="56" w:firstLine="220"/>
        <w:rPr>
          <w:rFonts w:hint="default"/>
          <w:lang w:val="en-US"/>
        </w:rPr>
      </w:pPr>
      <w:r>
        <w:rPr>
          <w:rFonts w:ascii="Times New Roman"/>
        </w:rPr>
        <w:drawing>
          <wp:anchor distT="0" distB="0" distL="0" distR="0" simplePos="0" relativeHeight="251678720" behindDoc="0" locked="0" layoutInCell="1" allowOverlap="1">
            <wp:simplePos x="0" y="0"/>
            <wp:positionH relativeFrom="column">
              <wp:posOffset>1523365</wp:posOffset>
            </wp:positionH>
            <wp:positionV relativeFrom="paragraph">
              <wp:posOffset>275590</wp:posOffset>
            </wp:positionV>
            <wp:extent cx="1295400" cy="984250"/>
            <wp:effectExtent l="0" t="0" r="0" b="6350"/>
            <wp:wrapNone/>
            <wp:docPr id="25" name="IM 56"/>
            <wp:cNvGraphicFramePr/>
            <a:graphic xmlns:a="http://schemas.openxmlformats.org/drawingml/2006/main">
              <a:graphicData uri="http://schemas.openxmlformats.org/drawingml/2006/picture">
                <pic:pic xmlns:pic="http://schemas.openxmlformats.org/drawingml/2006/picture">
                  <pic:nvPicPr>
                    <pic:cNvPr id="25" name="IM 56"/>
                    <pic:cNvPicPr/>
                  </pic:nvPicPr>
                  <pic:blipFill>
                    <a:blip r:embed="rId50"/>
                    <a:stretch>
                      <a:fillRect/>
                    </a:stretch>
                  </pic:blipFill>
                  <pic:spPr>
                    <a:xfrm>
                      <a:off x="0" y="0"/>
                      <a:ext cx="1295405" cy="984265"/>
                    </a:xfrm>
                    <a:prstGeom prst="rect">
                      <a:avLst/>
                    </a:prstGeom>
                  </pic:spPr>
                </pic:pic>
              </a:graphicData>
            </a:graphic>
          </wp:anchor>
        </w:drawing>
      </w:r>
      <w:r>
        <w:rPr>
          <w:rFonts w:ascii="Times New Roman" w:hAnsi="黑体" w:eastAsia="黑体" w:cs="黑体"/>
          <w:snapToGrid w:val="0"/>
          <w:color w:val="000000"/>
          <w:spacing w:val="4"/>
          <w:kern w:val="0"/>
          <w:sz w:val="12"/>
          <w:szCs w:val="12"/>
          <w:lang w:val="en-US" w:eastAsia="en-US" w:bidi="ar-SA"/>
        </w:rPr>
        <w:t>El controlador ofrece amplias opciones de configuración. Para acceder a la interfaz del menú principal, pulse el botón de menú, introduzca la contraseña "1111" en la pantalla táctil, confirme y pulse de nuevo OK.</w:t>
      </w:r>
    </w:p>
    <w:p w14:paraId="6777FBBB">
      <w:pPr>
        <w:spacing w:line="1549" w:lineRule="exact"/>
        <w:ind w:firstLine="150"/>
      </w:pPr>
      <w:r>
        <w:rPr>
          <w:position w:val="-30"/>
        </w:rPr>
        <w:drawing>
          <wp:inline distT="0" distB="0" distL="0" distR="0">
            <wp:extent cx="1295400" cy="98361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51"/>
                    <a:stretch>
                      <a:fillRect/>
                    </a:stretch>
                  </pic:blipFill>
                  <pic:spPr>
                    <a:xfrm>
                      <a:off x="0" y="0"/>
                      <a:ext cx="1295405" cy="984213"/>
                    </a:xfrm>
                    <a:prstGeom prst="rect">
                      <a:avLst/>
                    </a:prstGeom>
                  </pic:spPr>
                </pic:pic>
              </a:graphicData>
            </a:graphic>
          </wp:inline>
        </w:drawing>
      </w:r>
    </w:p>
    <w:p w14:paraId="6637E0DC">
      <w:pPr>
        <w:spacing w:line="1549" w:lineRule="exact"/>
        <w:sectPr>
          <w:footerReference r:id="rId14" w:type="default"/>
          <w:pgSz w:w="6030" w:h="8300"/>
          <w:pgMar w:top="705" w:right="755" w:bottom="539" w:left="709" w:header="0" w:footer="449" w:gutter="0"/>
          <w:cols w:space="720" w:num="1"/>
        </w:sectPr>
      </w:pPr>
    </w:p>
    <w:p w14:paraId="7D67ABFC">
      <w:pPr>
        <w:pStyle w:val="2"/>
        <w:spacing w:before="31" w:line="351" w:lineRule="auto"/>
        <w:ind w:left="21" w:right="87" w:firstLine="230"/>
        <w:rPr>
          <w:rFonts w:hint="default"/>
          <w:lang w:val="en-US"/>
        </w:rPr>
      </w:pPr>
      <w:r>
        <w:rPr>
          <w:rFonts w:ascii="Times New Roman" w:hAnsi="黑体" w:eastAsia="黑体" w:cs="黑体"/>
          <w:b/>
          <w:bCs/>
          <w:snapToGrid w:val="0"/>
          <w:color w:val="000000"/>
          <w:spacing w:val="2"/>
          <w:kern w:val="0"/>
          <w:sz w:val="12"/>
          <w:szCs w:val="12"/>
          <w:lang w:val="en-US" w:eastAsia="en-US" w:bidi="ar-SA"/>
        </w:rPr>
        <w:t>Nota: los elementos del menú del controlador superan la inspección de fábrica. Si necesita modificar parámetros clave, se recomienda consultar al fabricante antes de realizar cualquier cambio. Queda terminantemente prohibido realizar modificaciones no autorizadas.</w:t>
      </w:r>
    </w:p>
    <w:p w14:paraId="7F0511FC">
      <w:pPr>
        <w:pStyle w:val="2"/>
        <w:spacing w:before="54" w:line="276" w:lineRule="auto"/>
        <w:ind w:left="19" w:firstLine="239"/>
        <w:rPr>
          <w:rFonts w:hint="default"/>
          <w:lang w:val="en-US"/>
        </w:rPr>
      </w:pPr>
      <w:r>
        <w:rPr>
          <w:rFonts w:ascii="Times New Roman" w:hAnsi="黑体" w:eastAsia="黑体" w:cs="黑体"/>
          <w:snapToGrid w:val="0"/>
          <w:color w:val="000000"/>
          <w:spacing w:val="4"/>
          <w:kern w:val="0"/>
          <w:sz w:val="12"/>
          <w:szCs w:val="12"/>
          <w:lang w:val="en-US" w:eastAsia="en-US" w:bidi="ar-SA"/>
        </w:rPr>
        <w:t>(1) Registros de alarma: al pulsar los registros de alarma en la pantalla, se pueden consultar los registros históricos de alarmas, que muestran con claridad los registros de alarma monitorizados recientemente. Para almacenar una gran cantidad de registros de alarma, se debe insertar una tarjeta de memoria SD en la placa base, como se muestra en la figura 5-1.</w:t>
      </w:r>
    </w:p>
    <w:p w14:paraId="207C345E">
      <w:pPr>
        <w:pStyle w:val="2"/>
        <w:spacing w:before="91" w:line="299" w:lineRule="auto"/>
        <w:ind w:left="19" w:right="85" w:firstLine="239"/>
        <w:rPr>
          <w:rFonts w:hint="default"/>
          <w:lang w:val="en-US"/>
        </w:rPr>
      </w:pPr>
      <w:r>
        <w:rPr>
          <w:rFonts w:ascii="Times New Roman" w:hAnsi="黑体" w:eastAsia="黑体" w:cs="黑体"/>
          <w:snapToGrid w:val="0"/>
          <w:color w:val="000000"/>
          <w:spacing w:val="4"/>
          <w:kern w:val="0"/>
          <w:sz w:val="12"/>
          <w:szCs w:val="12"/>
          <w:lang w:val="en-US" w:eastAsia="en-US" w:bidi="ar-SA"/>
        </w:rPr>
        <w:t>(2) Curva histórica: al pulsar la curva histórica en la pantalla, se muestran las curvas de variación de los valores de concentración de gas de los distintos canales durante un período de tiempo predefinido anterior a la hora actual. La tecla ▲ V de la pantalla se puede utilizar para ajustar la configuración de visualización de canales, como se muestra en la figura 5-2.</w:t>
      </w:r>
    </w:p>
    <w:p w14:paraId="1EC13DB2">
      <w:pPr>
        <w:spacing w:before="2" w:line="1570" w:lineRule="exact"/>
        <w:ind w:firstLine="159"/>
      </w:pPr>
      <w:r>
        <w:drawing>
          <wp:anchor distT="0" distB="0" distL="0" distR="0" simplePos="0" relativeHeight="251661312" behindDoc="0" locked="0" layoutInCell="1" allowOverlap="1">
            <wp:simplePos x="0" y="0"/>
            <wp:positionH relativeFrom="column">
              <wp:posOffset>1555115</wp:posOffset>
            </wp:positionH>
            <wp:positionV relativeFrom="paragraph">
              <wp:posOffset>1270</wp:posOffset>
            </wp:positionV>
            <wp:extent cx="1314450" cy="9969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52"/>
                    <a:stretch>
                      <a:fillRect/>
                    </a:stretch>
                  </pic:blipFill>
                  <pic:spPr>
                    <a:xfrm>
                      <a:off x="0" y="0"/>
                      <a:ext cx="1314436" cy="996914"/>
                    </a:xfrm>
                    <a:prstGeom prst="rect">
                      <a:avLst/>
                    </a:prstGeom>
                  </pic:spPr>
                </pic:pic>
              </a:graphicData>
            </a:graphic>
          </wp:anchor>
        </w:drawing>
      </w:r>
      <w:r>
        <w:rPr>
          <w:position w:val="-31"/>
        </w:rPr>
        <w:drawing>
          <wp:inline distT="0" distB="0" distL="0" distR="0">
            <wp:extent cx="1313815" cy="99631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53"/>
                    <a:stretch>
                      <a:fillRect/>
                    </a:stretch>
                  </pic:blipFill>
                  <pic:spPr>
                    <a:xfrm>
                      <a:off x="0" y="0"/>
                      <a:ext cx="1314436" cy="996914"/>
                    </a:xfrm>
                    <a:prstGeom prst="rect">
                      <a:avLst/>
                    </a:prstGeom>
                  </pic:spPr>
                </pic:pic>
              </a:graphicData>
            </a:graphic>
          </wp:inline>
        </w:drawing>
      </w:r>
    </w:p>
    <w:p w14:paraId="1A0C4EF6">
      <w:pPr>
        <w:pStyle w:val="2"/>
        <w:spacing w:before="55" w:line="222" w:lineRule="auto"/>
        <w:ind w:left="1029"/>
        <w:rPr>
          <w:rFonts w:hint="default"/>
          <w:lang w:val="en-US"/>
        </w:rPr>
      </w:pPr>
      <w:r>
        <w:rPr>
          <w:rFonts w:ascii="Times New Roman" w:hAnsi="黑体" w:eastAsia="黑体" w:cs="黑体"/>
          <w:snapToGrid w:val="0"/>
          <w:color w:val="000000"/>
          <w:spacing w:val="5"/>
          <w:kern w:val="0"/>
          <w:sz w:val="12"/>
          <w:szCs w:val="12"/>
          <w:lang w:val="en-US" w:eastAsia="en-US" w:bidi="ar-SA"/>
        </w:rPr>
        <w:t>Figura 5-1 Figura 5-2 Figura 5-1 Figura 5-2</w:t>
      </w:r>
    </w:p>
    <w:p w14:paraId="70C72DE1">
      <w:pPr>
        <w:pStyle w:val="2"/>
        <w:spacing w:before="50" w:line="268" w:lineRule="auto"/>
        <w:ind w:left="19" w:right="84" w:firstLine="239"/>
        <w:rPr>
          <w:rFonts w:hint="default"/>
          <w:lang w:val="en-US"/>
        </w:rPr>
      </w:pPr>
      <w:r>
        <w:rPr>
          <w:rFonts w:ascii="Times New Roman" w:hAnsi="黑体" w:eastAsia="黑体" w:cs="黑体"/>
          <w:snapToGrid w:val="0"/>
          <w:color w:val="000000"/>
          <w:spacing w:val="4"/>
          <w:kern w:val="0"/>
          <w:sz w:val="12"/>
          <w:szCs w:val="12"/>
          <w:lang w:val="en-US" w:eastAsia="en-US" w:bidi="ar-SA"/>
        </w:rPr>
        <w:t>(3) Ajuste del umbral de alarma baja: se utiliza para configurar el umbral de alarma inferior de los sensores. Este producto permite modificar el valor de alarma del límite inferior mediante interacción con la pantalla táctil. Para ajustar el umbral, pulse el botón de entrada en la pantalla, introduzca el valor de alarma baja deseado y pulse Guardar para completar la modificación. Como se muestra en la figura 5-3.</w:t>
      </w:r>
    </w:p>
    <w:p w14:paraId="7FBD177A">
      <w:pPr>
        <w:pStyle w:val="2"/>
        <w:spacing w:before="76" w:line="219" w:lineRule="auto"/>
        <w:ind w:left="19"/>
        <w:rPr>
          <w:rFonts w:hint="default" w:ascii="宋体" w:hAnsi="宋体" w:eastAsia="宋体" w:cs="宋体"/>
          <w:lang w:val="en-US"/>
        </w:rPr>
      </w:pPr>
      <w:r>
        <w:rPr>
          <w:rFonts w:ascii="Times New Roman" w:hAnsi="宋体" w:eastAsia="宋体" w:cs="宋体"/>
          <w:snapToGrid w:val="0"/>
          <w:color w:val="000000"/>
          <w:spacing w:val="8"/>
          <w:kern w:val="0"/>
          <w:sz w:val="12"/>
          <w:szCs w:val="12"/>
          <w:lang w:val="en-US" w:eastAsia="en-US" w:bidi="ar-SA"/>
        </w:rPr>
        <w:t>(Nota: el valor predeterminado de alarma baja de este producto es 20% LEL, con un rango ajustable de 0–99% LEL.)</w:t>
      </w:r>
    </w:p>
    <w:p w14:paraId="084953EE">
      <w:pPr>
        <w:pStyle w:val="2"/>
        <w:spacing w:before="83" w:line="283" w:lineRule="auto"/>
        <w:ind w:left="19" w:right="84" w:firstLine="239"/>
        <w:rPr>
          <w:rFonts w:hint="default"/>
          <w:lang w:val="en-US"/>
        </w:rPr>
      </w:pPr>
      <w:r>
        <w:rPr>
          <w:rFonts w:ascii="Times New Roman" w:hAnsi="黑体" w:eastAsia="黑体" w:cs="黑体"/>
          <w:snapToGrid w:val="0"/>
          <w:color w:val="000000"/>
          <w:spacing w:val="4"/>
          <w:kern w:val="0"/>
          <w:sz w:val="12"/>
          <w:szCs w:val="12"/>
          <w:lang w:val="en-US" w:eastAsia="en-US" w:bidi="ar-SA"/>
        </w:rPr>
        <w:t>(4) Ajuste de alarma alta: se utiliza para configurar el umbral de alarma alto de los sensores. Este producto permite modificar el valor de alarma del límite superior mediante interacción con la pantalla táctil. Para ajustar el valor de alarma alta, pulse el botón de entrada en la pantalla, introduzca el umbral deseado y pulse Guardar para completar el ajuste. Como se muestra en la figura 5-4.</w:t>
      </w:r>
    </w:p>
    <w:p w14:paraId="04AC044C">
      <w:pPr>
        <w:pStyle w:val="2"/>
        <w:spacing w:before="97" w:line="219" w:lineRule="auto"/>
        <w:ind w:left="19"/>
        <w:rPr>
          <w:rFonts w:hint="default" w:ascii="宋体" w:hAnsi="宋体" w:eastAsia="宋体" w:cs="宋体"/>
          <w:lang w:val="en-US"/>
        </w:rPr>
      </w:pPr>
      <w:r>
        <w:rPr>
          <w:rFonts w:ascii="Times New Roman"/>
        </w:rPr>
        <w:drawing>
          <wp:anchor distT="0" distB="0" distL="0" distR="0" simplePos="0" relativeHeight="251679744" behindDoc="0" locked="0" layoutInCell="1" allowOverlap="1">
            <wp:simplePos x="0" y="0"/>
            <wp:positionH relativeFrom="column">
              <wp:posOffset>1555115</wp:posOffset>
            </wp:positionH>
            <wp:positionV relativeFrom="paragraph">
              <wp:posOffset>167005</wp:posOffset>
            </wp:positionV>
            <wp:extent cx="1320800" cy="1009650"/>
            <wp:effectExtent l="0" t="0" r="0" b="6350"/>
            <wp:wrapNone/>
            <wp:docPr id="27" name="IM 64"/>
            <wp:cNvGraphicFramePr/>
            <a:graphic xmlns:a="http://schemas.openxmlformats.org/drawingml/2006/main">
              <a:graphicData uri="http://schemas.openxmlformats.org/drawingml/2006/picture">
                <pic:pic xmlns:pic="http://schemas.openxmlformats.org/drawingml/2006/picture">
                  <pic:nvPicPr>
                    <pic:cNvPr id="27" name="IM 64"/>
                    <pic:cNvPicPr/>
                  </pic:nvPicPr>
                  <pic:blipFill>
                    <a:blip r:embed="rId54"/>
                    <a:stretch>
                      <a:fillRect/>
                    </a:stretch>
                  </pic:blipFill>
                  <pic:spPr>
                    <a:xfrm>
                      <a:off x="0" y="0"/>
                      <a:ext cx="1320792" cy="1009669"/>
                    </a:xfrm>
                    <a:prstGeom prst="rect">
                      <a:avLst/>
                    </a:prstGeom>
                  </pic:spPr>
                </pic:pic>
              </a:graphicData>
            </a:graphic>
          </wp:anchor>
        </w:drawing>
      </w:r>
      <w:r>
        <w:rPr>
          <w:rFonts w:ascii="Times New Roman" w:hAnsi="宋体" w:eastAsia="宋体" w:cs="宋体"/>
          <w:snapToGrid w:val="0"/>
          <w:color w:val="000000"/>
          <w:spacing w:val="8"/>
          <w:kern w:val="0"/>
          <w:sz w:val="12"/>
          <w:szCs w:val="12"/>
          <w:lang w:val="en-US" w:eastAsia="en-US" w:bidi="ar-SA"/>
        </w:rPr>
        <w:t>(Nota: el valor predeterminado de alarma alta de este producto es 50% LEL, con un rango ajustable de 0–99% LEL.)</w:t>
      </w:r>
    </w:p>
    <w:p w14:paraId="03809461">
      <w:pPr>
        <w:spacing w:before="24" w:line="1560" w:lineRule="exact"/>
        <w:ind w:firstLine="159"/>
      </w:pPr>
      <w:r>
        <w:rPr>
          <w:position w:val="-31"/>
        </w:rPr>
        <w:drawing>
          <wp:inline distT="0" distB="0" distL="0" distR="0">
            <wp:extent cx="1313815" cy="98996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55"/>
                    <a:stretch>
                      <a:fillRect/>
                    </a:stretch>
                  </pic:blipFill>
                  <pic:spPr>
                    <a:xfrm>
                      <a:off x="0" y="0"/>
                      <a:ext cx="1314436" cy="990590"/>
                    </a:xfrm>
                    <a:prstGeom prst="rect">
                      <a:avLst/>
                    </a:prstGeom>
                  </pic:spPr>
                </pic:pic>
              </a:graphicData>
            </a:graphic>
          </wp:inline>
        </w:drawing>
      </w:r>
    </w:p>
    <w:p w14:paraId="7C20F880">
      <w:pPr>
        <w:pStyle w:val="2"/>
        <w:spacing w:before="35" w:line="222" w:lineRule="auto"/>
        <w:ind w:left="999"/>
        <w:rPr>
          <w:rFonts w:hint="default"/>
          <w:lang w:val="en-US"/>
        </w:rPr>
      </w:pPr>
      <w:r>
        <w:rPr>
          <w:rFonts w:ascii="Times New Roman"/>
        </w:rPr>
        <mc:AlternateContent>
          <mc:Choice Requires="wps">
            <w:drawing>
              <wp:anchor distT="0" distB="0" distL="114300" distR="114300" simplePos="0" relativeHeight="251680768" behindDoc="0" locked="0" layoutInCell="1" allowOverlap="1">
                <wp:simplePos x="0" y="0"/>
                <wp:positionH relativeFrom="column">
                  <wp:posOffset>2069465</wp:posOffset>
                </wp:positionH>
                <wp:positionV relativeFrom="paragraph">
                  <wp:posOffset>9525</wp:posOffset>
                </wp:positionV>
                <wp:extent cx="224155" cy="11747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224155" cy="117475"/>
                        </a:xfrm>
                        <a:prstGeom prst="rect">
                          <a:avLst/>
                        </a:prstGeom>
                        <a:noFill/>
                        <a:ln>
                          <a:noFill/>
                        </a:ln>
                      </wps:spPr>
                      <wps:txbx>
                        <w:txbxContent>
                          <w:p w14:paraId="7D1E7214">
                            <w:pPr>
                              <w:pStyle w:val="2"/>
                              <w:spacing w:before="20" w:line="222" w:lineRule="auto"/>
                              <w:ind w:left="20"/>
                              <w:rPr>
                                <w:rFonts w:hint="default"/>
                                <w:highlight w:val="yellow"/>
                                <w:lang w:val="en-US"/>
                              </w:rPr>
                            </w:pPr>
                            <w:r>
                              <w:rPr>
                                <w:rFonts w:ascii="Times New Roman" w:hAnsi="黑体" w:eastAsia="黑体" w:cs="黑体"/>
                                <w:snapToGrid w:val="0"/>
                                <w:color w:val="000000"/>
                                <w:spacing w:val="3"/>
                                <w:kern w:val="0"/>
                                <w:sz w:val="12"/>
                                <w:szCs w:val="12"/>
                                <w:highlight w:val="yellow"/>
                                <w:lang w:val="en-US" w:eastAsia="en-US" w:bidi="ar-SA"/>
                              </w:rPr>
                              <w:t>gráfico 5-4</w:t>
                            </w:r>
                          </w:p>
                        </w:txbxContent>
                      </wps:txbx>
                      <wps:bodyPr lIns="0" tIns="0" rIns="0" bIns="0" upright="1"/>
                    </wps:wsp>
                  </a:graphicData>
                </a:graphic>
              </wp:anchor>
            </w:drawing>
          </mc:Choice>
          <mc:Fallback>
            <w:pict>
              <v:shape id="_x0000_s1026" o:spid="_x0000_s1026" o:spt="202" type="#_x0000_t202" style="position:absolute;left:0pt;margin-left:162.95pt;margin-top:0.75pt;height:9.25pt;width:17.65pt;z-index:251680768;mso-width-relative:page;mso-height-relative:page;" filled="f" stroked="f" coordsize="21600,21600" o:gfxdata="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bLJse1wAAAAgBAAAPAAAAAAAAAAEAIAAAACIAAABkcnMvZG93bnJldi54bWxQSwEC&#10;FAAUAAAACACHTuJAP/y6iLwBAABzAwAADgAAAAAAAAABACAAAAAmAQAAZHJzL2Uyb0RvYy54bWxQ&#10;SwUGAAAAAAYABgBZAQAAVAUAAAAA&#10;">
                <v:fill on="f" focussize="0,0"/>
                <v:stroke on="f"/>
                <v:imagedata o:title=""/>
                <o:lock v:ext="edit" aspectratio="f"/>
                <v:textbox inset="0mm,0mm,0mm,0mm">
                  <w:txbxContent>
                    <w:p w14:paraId="7D1E7214">
                      <w:pPr>
                        <w:pStyle w:val="2"/>
                        <w:spacing w:before="20" w:line="222" w:lineRule="auto"/>
                        <w:ind w:left="20"/>
                        <w:rPr>
                          <w:rFonts w:hint="default"/>
                          <w:highlight w:val="yellow"/>
                          <w:lang w:val="en-US"/>
                        </w:rPr>
                      </w:pPr>
                      <w:r>
                        <w:rPr>
                          <w:rFonts w:ascii="Times New Roman" w:hAnsi="黑体" w:eastAsia="黑体" w:cs="黑体"/>
                          <w:snapToGrid w:val="0"/>
                          <w:color w:val="000000"/>
                          <w:spacing w:val="3"/>
                          <w:kern w:val="0"/>
                          <w:sz w:val="12"/>
                          <w:szCs w:val="12"/>
                          <w:highlight w:val="yellow"/>
                          <w:lang w:val="en-US" w:eastAsia="en-US" w:bidi="ar-SA"/>
                        </w:rPr>
                        <w:t>gráfico 5-4</w:t>
                      </w:r>
                    </w:p>
                  </w:txbxContent>
                </v:textbox>
              </v:shape>
            </w:pict>
          </mc:Fallback>
        </mc:AlternateContent>
      </w:r>
      <w:r>
        <w:rPr>
          <w:rFonts w:ascii="Times New Roman" w:hAnsi="黑体" w:eastAsia="黑体" w:cs="黑体"/>
          <w:snapToGrid w:val="0"/>
          <w:color w:val="000000"/>
          <w:spacing w:val="4"/>
          <w:kern w:val="0"/>
          <w:sz w:val="12"/>
          <w:szCs w:val="12"/>
          <w:lang w:val="en-US" w:eastAsia="en-US" w:bidi="ar-SA"/>
        </w:rPr>
        <w:t>gráfico 5-3</w:t>
      </w:r>
    </w:p>
    <w:p w14:paraId="7E25EC92">
      <w:pPr>
        <w:pStyle w:val="2"/>
        <w:spacing w:before="29" w:line="351" w:lineRule="auto"/>
        <w:ind w:right="54" w:firstLine="259"/>
        <w:rPr>
          <w:rFonts w:hint="default"/>
          <w:lang w:val="en-US"/>
        </w:rPr>
      </w:pPr>
      <w:r>
        <w:rPr>
          <w:rFonts w:ascii="Times New Roman" w:hAnsi="黑体" w:eastAsia="黑体" w:cs="黑体"/>
          <w:snapToGrid w:val="0"/>
          <w:color w:val="000000"/>
          <w:spacing w:val="8"/>
          <w:kern w:val="0"/>
          <w:sz w:val="12"/>
          <w:szCs w:val="12"/>
          <w:lang w:val="en-US" w:eastAsia="en-US" w:bidi="ar-SA"/>
        </w:rPr>
        <w:t>(5) Configuración del nombre: pulse la tecla ▲V en la pantalla para cambiar el nombre del gas detectado, como metano, dióxido de azufre o monóxido de carbono. Pulse la tecla ▲ para localizar el nombre del gas objetivo y, una vez identificado, pulse Guardar. Como se muestra en la figura 5-5.</w:t>
      </w:r>
    </w:p>
    <w:p w14:paraId="426AC06F">
      <w:pPr>
        <w:pStyle w:val="2"/>
        <w:spacing w:before="9" w:line="221" w:lineRule="auto"/>
        <w:ind w:left="19"/>
        <w:rPr>
          <w:rFonts w:hint="default"/>
          <w:lang w:val="en-US"/>
        </w:rPr>
      </w:pPr>
      <w:r>
        <w:rPr>
          <w:rFonts w:ascii="Times New Roman" w:hAnsi="黑体" w:eastAsia="黑体" w:cs="黑体"/>
          <w:snapToGrid w:val="0"/>
          <w:color w:val="000000"/>
          <w:spacing w:val="4"/>
          <w:kern w:val="0"/>
          <w:sz w:val="12"/>
          <w:szCs w:val="12"/>
          <w:lang w:val="en-US" w:eastAsia="en-US" w:bidi="ar-SA"/>
        </w:rPr>
        <w:t>Este producto detecta metano de forma predeterminada.</w:t>
      </w:r>
    </w:p>
    <w:p w14:paraId="3EC2F31D">
      <w:pPr>
        <w:spacing w:line="221" w:lineRule="auto"/>
        <w:sectPr>
          <w:footerReference r:id="rId15" w:type="default"/>
          <w:pgSz w:w="6030" w:h="8300"/>
          <w:pgMar w:top="705" w:right="609" w:bottom="538" w:left="700" w:header="0" w:footer="448" w:gutter="0"/>
          <w:cols w:space="720" w:num="1"/>
        </w:sectPr>
      </w:pPr>
    </w:p>
    <w:p w14:paraId="6AD01873">
      <w:pPr>
        <w:pStyle w:val="2"/>
        <w:spacing w:before="27" w:line="331" w:lineRule="auto"/>
        <w:ind w:right="64" w:firstLine="260"/>
        <w:jc w:val="both"/>
        <w:rPr>
          <w:rFonts w:hint="default"/>
          <w:sz w:val="13"/>
          <w:szCs w:val="13"/>
          <w:lang w:val="en-US"/>
        </w:rPr>
      </w:pPr>
      <w:r>
        <w:rPr>
          <w:rFonts w:ascii="Times New Roman"/>
        </w:rPr>
        <w:drawing>
          <wp:anchor distT="0" distB="0" distL="0" distR="0" simplePos="0" relativeHeight="251681792" behindDoc="1" locked="0" layoutInCell="1" allowOverlap="1">
            <wp:simplePos x="0" y="0"/>
            <wp:positionH relativeFrom="column">
              <wp:posOffset>57150</wp:posOffset>
            </wp:positionH>
            <wp:positionV relativeFrom="paragraph">
              <wp:posOffset>405130</wp:posOffset>
            </wp:positionV>
            <wp:extent cx="1314450" cy="1009650"/>
            <wp:effectExtent l="0" t="0" r="6350" b="6350"/>
            <wp:wrapNone/>
            <wp:docPr id="31" name="IM 68"/>
            <wp:cNvGraphicFramePr/>
            <a:graphic xmlns:a="http://schemas.openxmlformats.org/drawingml/2006/main">
              <a:graphicData uri="http://schemas.openxmlformats.org/drawingml/2006/picture">
                <pic:pic xmlns:pic="http://schemas.openxmlformats.org/drawingml/2006/picture">
                  <pic:nvPicPr>
                    <pic:cNvPr id="31" name="IM 68"/>
                    <pic:cNvPicPr/>
                  </pic:nvPicPr>
                  <pic:blipFill>
                    <a:blip r:embed="rId56"/>
                    <a:stretch>
                      <a:fillRect/>
                    </a:stretch>
                  </pic:blipFill>
                  <pic:spPr>
                    <a:xfrm>
                      <a:off x="0" y="0"/>
                      <a:ext cx="1314436" cy="1009617"/>
                    </a:xfrm>
                    <a:prstGeom prst="rect">
                      <a:avLst/>
                    </a:prstGeom>
                  </pic:spPr>
                </pic:pic>
              </a:graphicData>
            </a:graphic>
          </wp:anchor>
        </w:drawing>
      </w:r>
      <w:bookmarkStart w:id="5" w:name="bookmark11"/>
      <w:bookmarkEnd w:id="5"/>
      <w:r>
        <w:rPr>
          <w:rFonts w:ascii="Times New Roman" w:hAnsi="黑体" w:eastAsia="黑体" w:cs="黑体"/>
          <w:snapToGrid w:val="0"/>
          <w:color w:val="000000"/>
          <w:spacing w:val="2"/>
          <w:kern w:val="0"/>
          <w:sz w:val="13"/>
          <w:szCs w:val="13"/>
          <w:lang w:val="en-US" w:eastAsia="en-US" w:bidi="ar-SA"/>
        </w:rPr>
        <w:t>(6) Configuración del número de bit: ajuste el código de ubicación del detector in situ para permitir una localización rápida de la dirección durante la transmisión de alarmas. Pulse la tecla ▲V en la pantalla para ajustar los canales del detector y, a continuación, pulse "Entrada" para introducir manualmente el código de ubicación del controlador (máximo 8 dígitos, incluidos caracteres alfanuméricos). Guarde la configuración para completarla, como se muestra en la figura 5-6.</w:t>
      </w:r>
    </w:p>
    <w:p w14:paraId="734D403E">
      <w:pPr>
        <w:spacing w:line="258" w:lineRule="auto"/>
        <w:rPr>
          <w:rFonts w:ascii="Arial"/>
          <w:sz w:val="21"/>
        </w:rPr>
      </w:pPr>
    </w:p>
    <w:p w14:paraId="2F89463E">
      <w:pPr>
        <w:spacing w:line="258" w:lineRule="auto"/>
        <w:rPr>
          <w:rFonts w:ascii="Arial"/>
          <w:sz w:val="21"/>
        </w:rPr>
      </w:pPr>
    </w:p>
    <w:p w14:paraId="5DD2291D">
      <w:pPr>
        <w:spacing w:line="258" w:lineRule="auto"/>
        <w:rPr>
          <w:rFonts w:ascii="Arial"/>
          <w:sz w:val="21"/>
        </w:rPr>
      </w:pPr>
    </w:p>
    <w:p w14:paraId="32417C18">
      <w:pPr>
        <w:spacing w:line="259" w:lineRule="auto"/>
        <w:rPr>
          <w:rFonts w:ascii="Arial"/>
          <w:sz w:val="21"/>
        </w:rPr>
      </w:pPr>
    </w:p>
    <w:p w14:paraId="6317EBC1">
      <w:pPr>
        <w:spacing w:line="259" w:lineRule="auto"/>
        <w:rPr>
          <w:rFonts w:ascii="Arial"/>
          <w:sz w:val="21"/>
        </w:rPr>
      </w:pPr>
    </w:p>
    <w:p w14:paraId="566DB837">
      <w:pPr>
        <w:pStyle w:val="2"/>
        <w:spacing w:before="23" w:line="222" w:lineRule="auto"/>
        <w:ind w:left="3700"/>
        <w:rPr>
          <w:rFonts w:hint="default"/>
          <w:sz w:val="7"/>
          <w:szCs w:val="7"/>
          <w:lang w:val="en-US"/>
        </w:rPr>
      </w:pPr>
      <w:r>
        <w:rPr>
          <w:rFonts w:ascii="Times New Roman"/>
        </w:rPr>
        <w:drawing>
          <wp:anchor distT="0" distB="0" distL="0" distR="0" simplePos="0" relativeHeight="251682816" behindDoc="1" locked="0" layoutInCell="1" allowOverlap="1">
            <wp:simplePos x="0" y="0"/>
            <wp:positionH relativeFrom="column">
              <wp:posOffset>1511300</wp:posOffset>
            </wp:positionH>
            <wp:positionV relativeFrom="paragraph">
              <wp:posOffset>-881380</wp:posOffset>
            </wp:positionV>
            <wp:extent cx="1320800" cy="1022350"/>
            <wp:effectExtent l="0" t="0" r="0" b="19050"/>
            <wp:wrapNone/>
            <wp:docPr id="33" name="IM 70"/>
            <wp:cNvGraphicFramePr/>
            <a:graphic xmlns:a="http://schemas.openxmlformats.org/drawingml/2006/main">
              <a:graphicData uri="http://schemas.openxmlformats.org/drawingml/2006/picture">
                <pic:pic xmlns:pic="http://schemas.openxmlformats.org/drawingml/2006/picture">
                  <pic:nvPicPr>
                    <pic:cNvPr id="33" name="IM 70"/>
                    <pic:cNvPicPr/>
                  </pic:nvPicPr>
                  <pic:blipFill>
                    <a:blip r:embed="rId57"/>
                    <a:stretch>
                      <a:fillRect/>
                    </a:stretch>
                  </pic:blipFill>
                  <pic:spPr>
                    <a:xfrm>
                      <a:off x="0" y="0"/>
                      <a:ext cx="1320792" cy="1022318"/>
                    </a:xfrm>
                    <a:prstGeom prst="rect">
                      <a:avLst/>
                    </a:prstGeom>
                  </pic:spPr>
                </pic:pic>
              </a:graphicData>
            </a:graphic>
          </wp:anchor>
        </w:drawing>
      </w:r>
      <w:r>
        <w:rPr>
          <w:rFonts w:ascii="Times New Roman" w:hAnsi="黑体" w:eastAsia="黑体" w:cs="黑体"/>
          <w:snapToGrid w:val="0"/>
          <w:color w:val="FFFFFF"/>
          <w:spacing w:val="-3"/>
          <w:kern w:val="0"/>
          <w:sz w:val="7"/>
          <w:szCs w:val="7"/>
          <w:lang w:val="en-US" w:eastAsia="en-US" w:bidi="ar-SA"/>
        </w:rPr>
        <w:t>Pulse: no implementado, almacenamiento, uso propio</w:t>
      </w:r>
    </w:p>
    <w:p w14:paraId="5FF56D72">
      <w:pPr>
        <w:pStyle w:val="2"/>
        <w:spacing w:before="88" w:line="237" w:lineRule="auto"/>
        <w:ind w:left="950"/>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Figura 5-5 Figura 5-6 Figura 5-5 Figura 5-6</w:t>
      </w:r>
    </w:p>
    <w:p w14:paraId="7EC562E4">
      <w:pPr>
        <w:pStyle w:val="2"/>
        <w:spacing w:before="51" w:line="219" w:lineRule="auto"/>
        <w:ind w:left="260"/>
        <w:rPr>
          <w:rFonts w:hint="default" w:ascii="宋体" w:hAnsi="宋体" w:eastAsia="宋体" w:cs="宋体"/>
          <w:sz w:val="13"/>
          <w:szCs w:val="13"/>
          <w:lang w:val="en-US"/>
        </w:rPr>
      </w:pPr>
      <w:r>
        <w:rPr>
          <w:rFonts w:ascii="Times New Roman" w:hAnsi="宋体" w:eastAsia="宋体" w:cs="宋体"/>
          <w:snapToGrid w:val="0"/>
          <w:color w:val="000000"/>
          <w:spacing w:val="-3"/>
          <w:kern w:val="0"/>
          <w:sz w:val="13"/>
          <w:szCs w:val="13"/>
          <w:lang w:val="en-US" w:eastAsia="en-US" w:bidi="ar-SA"/>
        </w:rPr>
        <w:t>(7) Ajustes de unidad: pulse la tecla ▲ V en la pantalla para cambiar la unidad de concentración de gas. Por ejemplo, al depurar "%VOL",</w:t>
      </w:r>
    </w:p>
    <w:p w14:paraId="713C24C2">
      <w:pPr>
        <w:pStyle w:val="2"/>
        <w:spacing w:before="80" w:line="351" w:lineRule="auto"/>
        <w:ind w:right="66"/>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Pulse la pantalla para modificar la tecla V correspondiente a la unidad, que muestra "%VOL". Pulse Guardar para seleccionar la unidad según sus necesidades, como se muestra en la figura 5-7. (La unidad predeterminada de este producto es "%LEL")</w:t>
      </w:r>
    </w:p>
    <w:p w14:paraId="5BFB3B16">
      <w:pPr>
        <w:pStyle w:val="2"/>
        <w:spacing w:before="32" w:line="221" w:lineRule="auto"/>
        <w:jc w:val="right"/>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(8) Ajustes de precisión: puede modificar el número de decimales de la concentración mostrada por el detector. Para configurarlo, toque la pantalla.</w:t>
      </w:r>
    </w:p>
    <w:p w14:paraId="6F1EC669">
      <w:pPr>
        <w:pStyle w:val="2"/>
        <w:spacing w:before="58" w:line="213" w:lineRule="auto"/>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La tecla ▲V ajusta el valor de medición al número de decimales, por ejemplo, un decimal. Pulse Guardar para medir con un decimal. Consulte la figura.</w:t>
      </w:r>
    </w:p>
    <w:p w14:paraId="1887DAC6">
      <w:pPr>
        <w:spacing w:line="50" w:lineRule="exact"/>
      </w:pPr>
    </w:p>
    <w:p w14:paraId="0F4D057F">
      <w:pPr>
        <w:spacing w:line="50" w:lineRule="exact"/>
        <w:sectPr>
          <w:footerReference r:id="rId16" w:type="default"/>
          <w:pgSz w:w="6030" w:h="8300"/>
          <w:pgMar w:top="682" w:right="638" w:bottom="538" w:left="709" w:header="0" w:footer="448" w:gutter="0"/>
          <w:cols w:equalWidth="0" w:num="1">
            <w:col w:w="4682"/>
          </w:cols>
        </w:sectPr>
      </w:pPr>
    </w:p>
    <w:p w14:paraId="21D1C73D">
      <w:pPr>
        <w:pStyle w:val="2"/>
        <w:spacing w:before="27" w:line="220" w:lineRule="auto"/>
        <w:rPr>
          <w:rFonts w:hint="default"/>
          <w:sz w:val="13"/>
          <w:szCs w:val="13"/>
          <w:lang w:val="en-US"/>
        </w:rPr>
      </w:pPr>
      <w:r>
        <w:rPr>
          <w:rFonts w:ascii="Times New Roman" w:hAnsi="黑体" w:eastAsia="黑体" w:cs="黑体"/>
          <w:snapToGrid w:val="0"/>
          <w:color w:val="000000"/>
          <w:spacing w:val="-1"/>
          <w:kern w:val="0"/>
          <w:sz w:val="13"/>
          <w:szCs w:val="13"/>
          <w:lang w:val="en-US" w:eastAsia="en-US" w:bidi="ar-SA"/>
        </w:rPr>
        <w:t>Como se muestra en la figura 5-8. (Este producto no utiliza decimales de forma predeterminada)</w:t>
      </w:r>
    </w:p>
    <w:p w14:paraId="559E4E35">
      <w:pPr>
        <w:spacing w:line="1560" w:lineRule="exact"/>
        <w:ind w:firstLine="110"/>
      </w:pPr>
      <w:r>
        <w:rPr>
          <w:position w:val="-31"/>
        </w:rPr>
        <w:drawing>
          <wp:inline distT="0" distB="0" distL="0" distR="0">
            <wp:extent cx="1358265" cy="98996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58"/>
                    <a:stretch>
                      <a:fillRect/>
                    </a:stretch>
                  </pic:blipFill>
                  <pic:spPr>
                    <a:xfrm>
                      <a:off x="0" y="0"/>
                      <a:ext cx="1358891" cy="990590"/>
                    </a:xfrm>
                    <a:prstGeom prst="rect">
                      <a:avLst/>
                    </a:prstGeom>
                  </pic:spPr>
                </pic:pic>
              </a:graphicData>
            </a:graphic>
          </wp:inline>
        </w:drawing>
      </w:r>
    </w:p>
    <w:p w14:paraId="6CCC487C">
      <w:pPr>
        <w:pStyle w:val="2"/>
        <w:spacing w:before="65" w:line="222" w:lineRule="auto"/>
        <w:ind w:left="1010"/>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gráfico 5-7</w:t>
      </w:r>
    </w:p>
    <w:p w14:paraId="3C767985">
      <w:pPr>
        <w:spacing w:line="27" w:lineRule="auto"/>
        <w:rPr>
          <w:rFonts w:ascii="Arial"/>
          <w:sz w:val="2"/>
        </w:rPr>
      </w:pPr>
    </w:p>
    <w:p w14:paraId="736C3D44">
      <w:pPr>
        <w:spacing w:line="14" w:lineRule="auto"/>
        <w:rPr>
          <w:rFonts w:ascii="Arial"/>
          <w:sz w:val="2"/>
        </w:rPr>
      </w:pPr>
      <w:r>
        <w:rPr>
          <w:rFonts w:ascii="Arial" w:hAnsi="Arial" w:eastAsia="Arial" w:cs="Arial"/>
          <w:sz w:val="2"/>
          <w:szCs w:val="2"/>
        </w:rPr>
        <w:br w:type="column"/>
      </w:r>
    </w:p>
    <w:p w14:paraId="1E63814A">
      <w:pPr>
        <w:spacing w:before="180" w:line="1560" w:lineRule="exact"/>
      </w:pPr>
      <w:r>
        <w:rPr>
          <w:position w:val="-31"/>
        </w:rPr>
        <w:drawing>
          <wp:inline distT="0" distB="0" distL="0" distR="0">
            <wp:extent cx="1307465" cy="98996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59"/>
                    <a:stretch>
                      <a:fillRect/>
                    </a:stretch>
                  </pic:blipFill>
                  <pic:spPr>
                    <a:xfrm>
                      <a:off x="0" y="0"/>
                      <a:ext cx="1308080" cy="990590"/>
                    </a:xfrm>
                    <a:prstGeom prst="rect">
                      <a:avLst/>
                    </a:prstGeom>
                  </pic:spPr>
                </pic:pic>
              </a:graphicData>
            </a:graphic>
          </wp:inline>
        </w:drawing>
      </w:r>
    </w:p>
    <w:p w14:paraId="3A0C1D8E">
      <w:pPr>
        <w:pStyle w:val="2"/>
        <w:spacing w:before="66" w:line="222" w:lineRule="auto"/>
        <w:ind w:left="839"/>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gráfico 5-8</w:t>
      </w:r>
    </w:p>
    <w:p w14:paraId="0D895BF6">
      <w:pPr>
        <w:spacing w:line="222" w:lineRule="auto"/>
        <w:rPr>
          <w:sz w:val="13"/>
          <w:szCs w:val="13"/>
        </w:rPr>
        <w:sectPr>
          <w:type w:val="continuous"/>
          <w:pgSz w:w="6030" w:h="8300"/>
          <w:pgMar w:top="682" w:right="638" w:bottom="538" w:left="709" w:header="0" w:footer="448" w:gutter="0"/>
          <w:cols w:equalWidth="0" w:num="2">
            <w:col w:w="2351" w:space="100"/>
            <w:col w:w="2232"/>
          </w:cols>
        </w:sectPr>
      </w:pPr>
    </w:p>
    <w:p w14:paraId="32C7355B">
      <w:pPr>
        <w:pStyle w:val="2"/>
        <w:spacing w:before="85" w:line="294" w:lineRule="auto"/>
        <w:ind w:right="100" w:firstLine="260"/>
        <w:rPr>
          <w:rFonts w:hint="default"/>
          <w:sz w:val="13"/>
          <w:szCs w:val="13"/>
          <w:lang w:val="en-US"/>
        </w:rPr>
      </w:pPr>
      <w:r>
        <w:rPr>
          <w:rFonts w:ascii="Times New Roman" w:hAnsi="黑体" w:eastAsia="黑体" w:cs="黑体"/>
          <w:snapToGrid w:val="0"/>
          <w:color w:val="000000"/>
          <w:spacing w:val="1"/>
          <w:kern w:val="0"/>
          <w:sz w:val="13"/>
          <w:szCs w:val="13"/>
          <w:lang w:val="en-US" w:eastAsia="en-US" w:bidi="ar-SA"/>
        </w:rPr>
        <w:t>(9) Ajustes de corriente: calibración a cero del controlador. Como se muestra en la figura 5-9, pulse el botón ▲ en la pantalla para seleccionar el canal según el sensor conectado. Por ejemplo, al conectar 32 canales como se muestra en la figura 5-10, seleccione el canal 32. Si la corriente de cero durante la conexión es 662, calibre el valor AD original a 662. Utilice el botón ▽ para ajustar el valor AD original a 662 y, a continuación, pulse Guardar.</w:t>
      </w:r>
    </w:p>
    <w:p w14:paraId="4C4287E3">
      <w:pPr>
        <w:pStyle w:val="2"/>
        <w:spacing w:before="69" w:line="257" w:lineRule="auto"/>
        <w:ind w:right="105" w:firstLine="26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(10) Ajuste del rango: modifique el rango de detección. Método: toque el campo de entrada en la esquina inferior izquierda de la pantalla, introduzca el rango deseado y pulse Guardar. Como se muestra en la figura 5-11. (El rango de detección de metano predeterminado de este producto es 100)</w:t>
      </w:r>
    </w:p>
    <w:p w14:paraId="06D96F0E">
      <w:pPr>
        <w:spacing w:line="257" w:lineRule="auto"/>
        <w:rPr>
          <w:sz w:val="13"/>
          <w:szCs w:val="13"/>
        </w:rPr>
        <w:sectPr>
          <w:type w:val="continuous"/>
          <w:pgSz w:w="6030" w:h="8300"/>
          <w:pgMar w:top="682" w:right="638" w:bottom="538" w:left="709" w:header="0" w:footer="448" w:gutter="0"/>
          <w:cols w:equalWidth="0" w:num="1">
            <w:col w:w="4682"/>
          </w:cols>
        </w:sectPr>
      </w:pPr>
    </w:p>
    <w:p w14:paraId="029861DA">
      <w:pPr>
        <w:spacing w:line="24" w:lineRule="exact"/>
      </w:pPr>
    </w:p>
    <w:p w14:paraId="2E2F4116">
      <w:pPr>
        <w:spacing w:line="24" w:lineRule="exact"/>
        <w:sectPr>
          <w:footerReference r:id="rId17" w:type="default"/>
          <w:pgSz w:w="6030" w:h="8300"/>
          <w:pgMar w:top="705" w:right="702" w:bottom="539" w:left="680" w:header="0" w:footer="449" w:gutter="0"/>
          <w:cols w:equalWidth="0" w:num="1">
            <w:col w:w="4648"/>
          </w:cols>
        </w:sectPr>
      </w:pPr>
    </w:p>
    <w:p w14:paraId="3EA6418C">
      <w:pPr>
        <w:spacing w:line="1619" w:lineRule="exact"/>
        <w:ind w:firstLine="200"/>
      </w:pPr>
      <w:r>
        <w:rPr>
          <w:position w:val="-32"/>
        </w:rPr>
        <w:drawing>
          <wp:inline distT="0" distB="0" distL="0" distR="0">
            <wp:extent cx="1282065" cy="102806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60"/>
                    <a:stretch>
                      <a:fillRect/>
                    </a:stretch>
                  </pic:blipFill>
                  <pic:spPr>
                    <a:xfrm>
                      <a:off x="0" y="0"/>
                      <a:ext cx="1282693" cy="1028696"/>
                    </a:xfrm>
                    <a:prstGeom prst="rect">
                      <a:avLst/>
                    </a:prstGeom>
                  </pic:spPr>
                </pic:pic>
              </a:graphicData>
            </a:graphic>
          </wp:inline>
        </w:drawing>
      </w:r>
    </w:p>
    <w:p w14:paraId="228CAF64">
      <w:pPr>
        <w:pStyle w:val="2"/>
        <w:spacing w:before="75" w:line="222" w:lineRule="auto"/>
        <w:ind w:left="1219"/>
        <w:rPr>
          <w:rFonts w:hint="default"/>
          <w:sz w:val="13"/>
          <w:szCs w:val="13"/>
          <w:lang w:val="en-US"/>
        </w:rPr>
      </w:pPr>
      <w:bookmarkStart w:id="6" w:name="bookmark12"/>
      <w:bookmarkEnd w:id="6"/>
      <w:r>
        <w:rPr>
          <w:rFonts w:ascii="Times New Roman" w:hAnsi="黑体" w:eastAsia="黑体" w:cs="黑体"/>
          <w:snapToGrid w:val="0"/>
          <w:color w:val="000000"/>
          <w:spacing w:val="-4"/>
          <w:kern w:val="0"/>
          <w:sz w:val="13"/>
          <w:szCs w:val="13"/>
          <w:lang w:val="en-US" w:eastAsia="en-US" w:bidi="ar-SA"/>
        </w:rPr>
        <w:t>gráfico 5-9</w:t>
      </w:r>
    </w:p>
    <w:p w14:paraId="5DB6D6FE">
      <w:pPr>
        <w:spacing w:before="68" w:line="1560" w:lineRule="exact"/>
        <w:ind w:firstLine="200"/>
      </w:pPr>
      <w:r>
        <w:rPr>
          <w:position w:val="-31"/>
        </w:rPr>
        <w:drawing>
          <wp:inline distT="0" distB="0" distL="0" distR="0">
            <wp:extent cx="1288415" cy="98996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61"/>
                    <a:stretch>
                      <a:fillRect/>
                    </a:stretch>
                  </pic:blipFill>
                  <pic:spPr>
                    <a:xfrm>
                      <a:off x="0" y="0"/>
                      <a:ext cx="1289049" cy="990590"/>
                    </a:xfrm>
                    <a:prstGeom prst="rect">
                      <a:avLst/>
                    </a:prstGeom>
                  </pic:spPr>
                </pic:pic>
              </a:graphicData>
            </a:graphic>
          </wp:inline>
        </w:drawing>
      </w:r>
    </w:p>
    <w:p w14:paraId="11FD8E3A">
      <w:pPr>
        <w:pStyle w:val="2"/>
        <w:spacing w:before="65" w:line="222" w:lineRule="auto"/>
        <w:ind w:left="114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5-11</w:t>
      </w:r>
    </w:p>
    <w:p w14:paraId="11615598">
      <w:pPr>
        <w:spacing w:line="24" w:lineRule="auto"/>
        <w:rPr>
          <w:rFonts w:ascii="Arial"/>
          <w:sz w:val="2"/>
        </w:rPr>
      </w:pPr>
    </w:p>
    <w:p w14:paraId="68F171D9">
      <w:pPr>
        <w:spacing w:line="14" w:lineRule="auto"/>
        <w:rPr>
          <w:rFonts w:ascii="Arial"/>
          <w:sz w:val="2"/>
        </w:rPr>
      </w:pPr>
      <w:r>
        <w:rPr>
          <w:rFonts w:ascii="Arial" w:hAnsi="Arial" w:eastAsia="Arial" w:cs="Arial"/>
          <w:sz w:val="2"/>
          <w:szCs w:val="2"/>
        </w:rPr>
        <w:br w:type="column"/>
      </w:r>
    </w:p>
    <w:p w14:paraId="5A3353EB">
      <w:pPr>
        <w:spacing w:before="8" w:line="1400" w:lineRule="exact"/>
        <w:ind w:firstLine="49"/>
      </w:pPr>
      <w:r>
        <w:rPr>
          <w:position w:val="-27"/>
        </w:rPr>
        <w:drawing>
          <wp:inline distT="0" distB="0" distL="0" distR="0">
            <wp:extent cx="1295400" cy="88836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62"/>
                    <a:stretch>
                      <a:fillRect/>
                    </a:stretch>
                  </pic:blipFill>
                  <pic:spPr>
                    <a:xfrm>
                      <a:off x="0" y="0"/>
                      <a:ext cx="1295405" cy="888975"/>
                    </a:xfrm>
                    <a:prstGeom prst="rect">
                      <a:avLst/>
                    </a:prstGeom>
                  </pic:spPr>
                </pic:pic>
              </a:graphicData>
            </a:graphic>
          </wp:inline>
        </w:drawing>
      </w:r>
    </w:p>
    <w:p w14:paraId="643961E8">
      <w:pPr>
        <w:spacing w:line="241" w:lineRule="auto"/>
        <w:rPr>
          <w:rFonts w:ascii="Arial"/>
          <w:sz w:val="21"/>
        </w:rPr>
      </w:pPr>
    </w:p>
    <w:p w14:paraId="328D4CB9">
      <w:pPr>
        <w:pStyle w:val="2"/>
        <w:spacing w:before="42" w:line="222" w:lineRule="auto"/>
        <w:ind w:left="72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5-10</w:t>
      </w:r>
    </w:p>
    <w:p w14:paraId="5964B977">
      <w:pPr>
        <w:spacing w:before="28" w:line="1610" w:lineRule="exact"/>
      </w:pPr>
      <w:r>
        <w:rPr>
          <w:position w:val="-32"/>
        </w:rPr>
        <w:drawing>
          <wp:inline distT="0" distB="0" distL="0" distR="0">
            <wp:extent cx="1313815" cy="10217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63"/>
                    <a:stretch>
                      <a:fillRect/>
                    </a:stretch>
                  </pic:blipFill>
                  <pic:spPr>
                    <a:xfrm>
                      <a:off x="0" y="0"/>
                      <a:ext cx="1314436" cy="1022318"/>
                    </a:xfrm>
                    <a:prstGeom prst="rect">
                      <a:avLst/>
                    </a:prstGeom>
                  </pic:spPr>
                </pic:pic>
              </a:graphicData>
            </a:graphic>
          </wp:inline>
        </w:drawing>
      </w:r>
    </w:p>
    <w:p w14:paraId="776004DE">
      <w:pPr>
        <w:pStyle w:val="2"/>
        <w:spacing w:before="55" w:line="222" w:lineRule="auto"/>
        <w:ind w:left="75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5-12</w:t>
      </w:r>
    </w:p>
    <w:p w14:paraId="1B17FB28">
      <w:pPr>
        <w:spacing w:line="222" w:lineRule="auto"/>
        <w:rPr>
          <w:sz w:val="13"/>
          <w:szCs w:val="13"/>
        </w:rPr>
        <w:sectPr>
          <w:type w:val="continuous"/>
          <w:pgSz w:w="6030" w:h="8300"/>
          <w:pgMar w:top="705" w:right="702" w:bottom="539" w:left="680" w:header="0" w:footer="449" w:gutter="0"/>
          <w:cols w:equalWidth="0" w:num="2">
            <w:col w:w="2321" w:space="100"/>
            <w:col w:w="2228"/>
          </w:cols>
        </w:sectPr>
      </w:pPr>
    </w:p>
    <w:p w14:paraId="6F570746">
      <w:pPr>
        <w:pStyle w:val="2"/>
        <w:spacing w:before="54" w:line="256" w:lineRule="auto"/>
        <w:ind w:right="52" w:firstLine="279"/>
        <w:rPr>
          <w:rFonts w:hint="default"/>
          <w:sz w:val="13"/>
          <w:szCs w:val="13"/>
          <w:lang w:val="en-US"/>
        </w:rPr>
      </w:pPr>
      <w:r>
        <w:rPr>
          <w:rFonts w:ascii="Times New Roman" w:hAnsi="黑体" w:eastAsia="黑体" w:cs="黑体"/>
          <w:snapToGrid w:val="0"/>
          <w:color w:val="000000"/>
          <w:kern w:val="0"/>
          <w:sz w:val="13"/>
          <w:szCs w:val="13"/>
          <w:lang w:val="en-US" w:eastAsia="en-US" w:bidi="ar-SA"/>
        </w:rPr>
        <w:t>(11) Brillo de la retroiluminación: ajuste el brillo de la pantalla. Método: toque el campo de entrada en la esquina inferior izquierda de la pantalla, introduzca el valor de brillo deseado (rango: 32–64) y ajústelo según sea necesario. Tras introducirlo, pulse Guardar.</w:t>
      </w:r>
    </w:p>
    <w:p w14:paraId="1E23E995">
      <w:pPr>
        <w:pStyle w:val="2"/>
        <w:spacing w:before="66" w:line="222" w:lineRule="auto"/>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El cambio se ha realizado correctamente. Consulte la figura 5-12.</w:t>
      </w:r>
    </w:p>
    <w:p w14:paraId="7F59045E">
      <w:pPr>
        <w:pStyle w:val="2"/>
        <w:spacing w:before="64" w:line="222" w:lineRule="auto"/>
        <w:ind w:left="25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(12) Intervalo de inspección: cambie el tiempo de cambio automático de página. Si el valor introducido es inferior a 10 segundos, el cambio manual de página es la opción predeterminada.</w:t>
      </w:r>
    </w:p>
    <w:p w14:paraId="4BB48411">
      <w:pPr>
        <w:pStyle w:val="2"/>
        <w:spacing w:before="67" w:line="270" w:lineRule="auto"/>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Si se requiere una monitorización frecuente o la observación periódica de varios gases (según sea necesario), pulse para introducir el tiempo de interfaz adecuado para el cambio de detección de gas y, a continuación, pulse Guardar para confirmar las modificaciones. Como se muestra en la figura 5-13.</w:t>
      </w:r>
    </w:p>
    <w:p w14:paraId="0C91C3D2">
      <w:pPr>
        <w:spacing w:line="270" w:lineRule="auto"/>
        <w:rPr>
          <w:sz w:val="13"/>
          <w:szCs w:val="13"/>
        </w:rPr>
        <w:sectPr>
          <w:type w:val="continuous"/>
          <w:pgSz w:w="6030" w:h="8300"/>
          <w:pgMar w:top="705" w:right="702" w:bottom="539" w:left="680" w:header="0" w:footer="449" w:gutter="0"/>
          <w:cols w:equalWidth="0" w:num="1">
            <w:col w:w="4648"/>
          </w:cols>
        </w:sectPr>
      </w:pPr>
    </w:p>
    <w:p w14:paraId="57C5A112">
      <w:pPr>
        <w:spacing w:before="40" w:line="1570" w:lineRule="exact"/>
        <w:ind w:firstLine="179"/>
      </w:pPr>
      <w:r>
        <w:rPr>
          <w:position w:val="-31"/>
        </w:rPr>
        <w:drawing>
          <wp:inline distT="0" distB="0" distL="0" distR="0">
            <wp:extent cx="1313815" cy="99631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64"/>
                    <a:stretch>
                      <a:fillRect/>
                    </a:stretch>
                  </pic:blipFill>
                  <pic:spPr>
                    <a:xfrm>
                      <a:off x="0" y="0"/>
                      <a:ext cx="1314436" cy="996915"/>
                    </a:xfrm>
                    <a:prstGeom prst="rect">
                      <a:avLst/>
                    </a:prstGeom>
                  </pic:spPr>
                </pic:pic>
              </a:graphicData>
            </a:graphic>
          </wp:inline>
        </w:drawing>
      </w:r>
    </w:p>
    <w:p w14:paraId="7E904A3E">
      <w:pPr>
        <w:pStyle w:val="2"/>
        <w:spacing w:before="76" w:line="187" w:lineRule="auto"/>
        <w:ind w:left="101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5-13</w:t>
      </w:r>
    </w:p>
    <w:p w14:paraId="745D9732">
      <w:pPr>
        <w:spacing w:line="14" w:lineRule="auto"/>
        <w:rPr>
          <w:rFonts w:ascii="Arial"/>
          <w:sz w:val="2"/>
        </w:rPr>
      </w:pPr>
      <w:r>
        <w:rPr>
          <w:rFonts w:ascii="Arial" w:hAnsi="Arial" w:eastAsia="Arial" w:cs="Arial"/>
          <w:sz w:val="2"/>
          <w:szCs w:val="2"/>
        </w:rPr>
        <w:br w:type="column"/>
      </w:r>
    </w:p>
    <w:p w14:paraId="4E1F421A">
      <w:pPr>
        <w:spacing w:line="1569" w:lineRule="exact"/>
      </w:pPr>
      <w:r>
        <w:rPr>
          <w:position w:val="-31"/>
        </w:rPr>
        <w:drawing>
          <wp:inline distT="0" distB="0" distL="0" distR="0">
            <wp:extent cx="1313815" cy="99568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65"/>
                    <a:stretch>
                      <a:fillRect/>
                    </a:stretch>
                  </pic:blipFill>
                  <pic:spPr>
                    <a:xfrm>
                      <a:off x="0" y="0"/>
                      <a:ext cx="1314436" cy="996039"/>
                    </a:xfrm>
                    <a:prstGeom prst="rect">
                      <a:avLst/>
                    </a:prstGeom>
                  </pic:spPr>
                </pic:pic>
              </a:graphicData>
            </a:graphic>
          </wp:inline>
        </w:drawing>
      </w:r>
    </w:p>
    <w:p w14:paraId="2D978399">
      <w:pPr>
        <w:pStyle w:val="2"/>
        <w:spacing w:before="115" w:line="187" w:lineRule="auto"/>
        <w:ind w:left="82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5-14</w:t>
      </w:r>
    </w:p>
    <w:p w14:paraId="0528A2B6">
      <w:pPr>
        <w:spacing w:line="187" w:lineRule="auto"/>
        <w:rPr>
          <w:sz w:val="13"/>
          <w:szCs w:val="13"/>
        </w:rPr>
        <w:sectPr>
          <w:type w:val="continuous"/>
          <w:pgSz w:w="6030" w:h="8300"/>
          <w:pgMar w:top="705" w:right="702" w:bottom="539" w:left="680" w:header="0" w:footer="449" w:gutter="0"/>
          <w:cols w:equalWidth="0" w:num="2">
            <w:col w:w="2321" w:space="100"/>
            <w:col w:w="2228"/>
          </w:cols>
        </w:sectPr>
      </w:pPr>
    </w:p>
    <w:p w14:paraId="2618D0B9">
      <w:pPr>
        <w:pStyle w:val="2"/>
        <w:spacing w:before="25" w:line="286" w:lineRule="auto"/>
        <w:ind w:firstLine="239"/>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(13) Ajustes de carga: configure los parámetros de carga. Los parámetros importantes no deben ser modificados arbitrariamente por personal no profesional de la empresa. Como se muestra en la figura 5-14.</w:t>
      </w:r>
    </w:p>
    <w:p w14:paraId="1903FCD4">
      <w:pPr>
        <w:pStyle w:val="2"/>
        <w:spacing w:before="57" w:line="285" w:lineRule="auto"/>
        <w:ind w:right="52" w:firstLine="239"/>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(14) Información de la tarjeta SD: consulte los detalles de la tarjeta de memoria. Este producto utiliza una tarjeta SD de 7420MB para el almacenamiento de datos, como se muestra en la figura 5-15. Si el espacio de almacenamiento es insuficiente, formatee la tarjeta si los parámetros no son críticos; no lo intente a menos que sea absolutamente necesario.</w:t>
      </w:r>
    </w:p>
    <w:p w14:paraId="736A9967">
      <w:pPr>
        <w:pStyle w:val="2"/>
        <w:spacing w:before="67" w:line="213" w:lineRule="auto"/>
        <w:ind w:left="23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(15) Parámetros de red: consulte la información de configuración de red como se muestra en la figura 5-16. Los parámetros clave, como los que no son proporcionados exclusivamente por nuestra empresa</w:t>
      </w:r>
    </w:p>
    <w:p w14:paraId="33AD9E04">
      <w:pPr>
        <w:spacing w:line="49" w:lineRule="exact"/>
      </w:pPr>
    </w:p>
    <w:p w14:paraId="33A6F837">
      <w:pPr>
        <w:spacing w:line="49" w:lineRule="exact"/>
        <w:sectPr>
          <w:footerReference r:id="rId18" w:type="default"/>
          <w:pgSz w:w="6030" w:h="8300"/>
          <w:pgMar w:top="692" w:right="663" w:bottom="538" w:left="719" w:header="0" w:footer="448" w:gutter="0"/>
          <w:cols w:equalWidth="0" w:num="1">
            <w:col w:w="4647"/>
          </w:cols>
        </w:sectPr>
      </w:pPr>
    </w:p>
    <w:p w14:paraId="17899DA2">
      <w:pPr>
        <w:pStyle w:val="2"/>
        <w:spacing w:before="27" w:line="221" w:lineRule="auto"/>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No transfiera personal arbitrariamente.</w:t>
      </w:r>
    </w:p>
    <w:p w14:paraId="7FF275C8">
      <w:pPr>
        <w:spacing w:before="30" w:line="1590" w:lineRule="exact"/>
        <w:ind w:firstLine="110"/>
      </w:pPr>
      <w:r>
        <w:rPr>
          <w:position w:val="-31"/>
        </w:rPr>
        <w:drawing>
          <wp:inline distT="0" distB="0" distL="0" distR="0">
            <wp:extent cx="1307465" cy="100965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66"/>
                    <a:stretch>
                      <a:fillRect/>
                    </a:stretch>
                  </pic:blipFill>
                  <pic:spPr>
                    <a:xfrm>
                      <a:off x="0" y="0"/>
                      <a:ext cx="1308080" cy="1009669"/>
                    </a:xfrm>
                    <a:prstGeom prst="rect">
                      <a:avLst/>
                    </a:prstGeom>
                  </pic:spPr>
                </pic:pic>
              </a:graphicData>
            </a:graphic>
          </wp:inline>
        </w:drawing>
      </w:r>
    </w:p>
    <w:p w14:paraId="7983FC0F">
      <w:pPr>
        <w:pStyle w:val="2"/>
        <w:spacing w:before="55" w:line="222" w:lineRule="auto"/>
        <w:ind w:left="108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5-15</w:t>
      </w:r>
    </w:p>
    <w:p w14:paraId="76C477F0">
      <w:pPr>
        <w:spacing w:line="25" w:lineRule="auto"/>
        <w:rPr>
          <w:rFonts w:ascii="Arial"/>
          <w:sz w:val="2"/>
        </w:rPr>
      </w:pPr>
    </w:p>
    <w:p w14:paraId="4A2BBB25">
      <w:pPr>
        <w:spacing w:line="14" w:lineRule="auto"/>
        <w:rPr>
          <w:rFonts w:ascii="Arial"/>
          <w:sz w:val="2"/>
        </w:rPr>
      </w:pPr>
      <w:r>
        <w:rPr>
          <w:rFonts w:ascii="Arial" w:hAnsi="Arial" w:eastAsia="Arial" w:cs="Arial"/>
          <w:sz w:val="2"/>
          <w:szCs w:val="2"/>
        </w:rPr>
        <w:br w:type="column"/>
      </w:r>
    </w:p>
    <w:p w14:paraId="0D520D68">
      <w:pPr>
        <w:spacing w:before="211" w:line="1620" w:lineRule="exact"/>
      </w:pPr>
      <w:r>
        <w:rPr>
          <w:position w:val="-32"/>
        </w:rPr>
        <w:drawing>
          <wp:inline distT="0" distB="0" distL="0" distR="0">
            <wp:extent cx="1308100" cy="10280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67"/>
                    <a:stretch>
                      <a:fillRect/>
                    </a:stretch>
                  </pic:blipFill>
                  <pic:spPr>
                    <a:xfrm>
                      <a:off x="0" y="0"/>
                      <a:ext cx="1308118" cy="1028696"/>
                    </a:xfrm>
                    <a:prstGeom prst="rect">
                      <a:avLst/>
                    </a:prstGeom>
                  </pic:spPr>
                </pic:pic>
              </a:graphicData>
            </a:graphic>
          </wp:inline>
        </w:drawing>
      </w:r>
    </w:p>
    <w:p w14:paraId="09C735E3">
      <w:pPr>
        <w:pStyle w:val="2"/>
        <w:spacing w:before="15" w:line="222" w:lineRule="auto"/>
        <w:ind w:left="71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5-16</w:t>
      </w:r>
    </w:p>
    <w:p w14:paraId="012007CE">
      <w:pPr>
        <w:spacing w:line="222" w:lineRule="auto"/>
        <w:rPr>
          <w:sz w:val="13"/>
          <w:szCs w:val="13"/>
        </w:rPr>
        <w:sectPr>
          <w:type w:val="continuous"/>
          <w:pgSz w:w="6030" w:h="8300"/>
          <w:pgMar w:top="692" w:right="663" w:bottom="538" w:left="719" w:header="0" w:footer="448" w:gutter="0"/>
          <w:cols w:equalWidth="0" w:num="2">
            <w:col w:w="2301" w:space="100"/>
            <w:col w:w="2247"/>
          </w:cols>
        </w:sectPr>
      </w:pPr>
    </w:p>
    <w:p w14:paraId="609F48C2">
      <w:pPr>
        <w:pStyle w:val="2"/>
        <w:spacing w:before="95" w:line="325" w:lineRule="auto"/>
        <w:ind w:right="69" w:firstLine="330"/>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(16) Ajustes del reloj: ajuste de la hora. Si la hora es incorrecta, pulse el botón ▲ en la pantalla para modificarla. Para aumentar un mes, pulse el botón ▲ de la fila correspondiente una vez para incrementar el mes de 3 a 4; para disminuirlo, pulse el mismo botón una vez para cambiar el mes de 4 a 2. Los demás botones siguen el mismo principio: utilice la pantalla táctil para seleccionar la hora correcta. Una vez completados los ajustes, pulse el botón de guardado en la esquina inferior derecha para finalizar los cambios, como se muestra en la figura 5-17.</w:t>
      </w:r>
    </w:p>
    <w:p w14:paraId="5D7442F9">
      <w:pPr>
        <w:spacing w:line="36" w:lineRule="exact"/>
      </w:pPr>
    </w:p>
    <w:p w14:paraId="779B1F4F">
      <w:pPr>
        <w:spacing w:line="36" w:lineRule="exact"/>
        <w:sectPr>
          <w:type w:val="continuous"/>
          <w:pgSz w:w="6030" w:h="8300"/>
          <w:pgMar w:top="692" w:right="663" w:bottom="538" w:left="719" w:header="0" w:footer="448" w:gutter="0"/>
          <w:cols w:equalWidth="0" w:num="1">
            <w:col w:w="4647"/>
          </w:cols>
        </w:sectPr>
      </w:pPr>
    </w:p>
    <w:p w14:paraId="577D6977">
      <w:pPr>
        <w:spacing w:line="1610" w:lineRule="exact"/>
        <w:ind w:firstLine="190"/>
      </w:pPr>
      <w:r>
        <w:rPr>
          <w:position w:val="-32"/>
        </w:rPr>
        <w:drawing>
          <wp:inline distT="0" distB="0" distL="0" distR="0">
            <wp:extent cx="1308100" cy="102235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68"/>
                    <a:stretch>
                      <a:fillRect/>
                    </a:stretch>
                  </pic:blipFill>
                  <pic:spPr>
                    <a:xfrm>
                      <a:off x="0" y="0"/>
                      <a:ext cx="1308118" cy="1022371"/>
                    </a:xfrm>
                    <a:prstGeom prst="rect">
                      <a:avLst/>
                    </a:prstGeom>
                  </pic:spPr>
                </pic:pic>
              </a:graphicData>
            </a:graphic>
          </wp:inline>
        </w:drawing>
      </w:r>
    </w:p>
    <w:p w14:paraId="27ED28B2">
      <w:pPr>
        <w:pStyle w:val="2"/>
        <w:spacing w:before="55" w:line="222" w:lineRule="auto"/>
        <w:ind w:left="112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5-17</w:t>
      </w:r>
    </w:p>
    <w:p w14:paraId="41DB1804">
      <w:pPr>
        <w:spacing w:line="24" w:lineRule="auto"/>
        <w:rPr>
          <w:rFonts w:ascii="Arial"/>
          <w:sz w:val="2"/>
        </w:rPr>
      </w:pPr>
    </w:p>
    <w:p w14:paraId="471D687E">
      <w:pPr>
        <w:spacing w:line="14" w:lineRule="auto"/>
        <w:rPr>
          <w:rFonts w:ascii="Arial"/>
          <w:sz w:val="2"/>
        </w:rPr>
      </w:pPr>
      <w:r>
        <w:rPr>
          <w:rFonts w:ascii="Arial" w:hAnsi="Arial" w:eastAsia="Arial" w:cs="Arial"/>
          <w:sz w:val="2"/>
          <w:szCs w:val="2"/>
        </w:rPr>
        <w:br w:type="column"/>
      </w:r>
    </w:p>
    <w:p w14:paraId="58AB934B">
      <w:pPr>
        <w:spacing w:line="1628" w:lineRule="exact"/>
      </w:pPr>
      <w:r>
        <w:rPr>
          <w:position w:val="-32"/>
        </w:rPr>
        <w:drawing>
          <wp:inline distT="0" distB="0" distL="0" distR="0">
            <wp:extent cx="1313815" cy="103378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69"/>
                    <a:stretch>
                      <a:fillRect/>
                    </a:stretch>
                  </pic:blipFill>
                  <pic:spPr>
                    <a:xfrm>
                      <a:off x="0" y="0"/>
                      <a:ext cx="1314436" cy="1034197"/>
                    </a:xfrm>
                    <a:prstGeom prst="rect">
                      <a:avLst/>
                    </a:prstGeom>
                  </pic:spPr>
                </pic:pic>
              </a:graphicData>
            </a:graphic>
          </wp:inline>
        </w:drawing>
      </w:r>
    </w:p>
    <w:p w14:paraId="2742AF47">
      <w:pPr>
        <w:pStyle w:val="2"/>
        <w:spacing w:before="36" w:line="222" w:lineRule="auto"/>
        <w:ind w:left="83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gráfico 5-18</w:t>
      </w:r>
    </w:p>
    <w:p w14:paraId="6BA571EA">
      <w:pPr>
        <w:spacing w:line="222" w:lineRule="auto"/>
        <w:rPr>
          <w:sz w:val="13"/>
          <w:szCs w:val="13"/>
        </w:rPr>
        <w:sectPr>
          <w:type w:val="continuous"/>
          <w:pgSz w:w="6030" w:h="8300"/>
          <w:pgMar w:top="692" w:right="663" w:bottom="538" w:left="719" w:header="0" w:footer="448" w:gutter="0"/>
          <w:cols w:equalWidth="0" w:num="2">
            <w:col w:w="2251" w:space="99"/>
            <w:col w:w="2297"/>
          </w:cols>
        </w:sectPr>
      </w:pPr>
    </w:p>
    <w:p w14:paraId="798F5DCA">
      <w:pPr>
        <w:pStyle w:val="2"/>
        <w:spacing w:before="135" w:line="250" w:lineRule="auto"/>
        <w:ind w:right="70" w:firstLine="239"/>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(17) Configuración de relés: configure las zonas de relé. Este producto está equipado con 6 relés, lo que permite seleccionar intervalos de rango numerados para el control por zonas. Por ejemplo, para el relé n.º 1, seleccione el modo de salida de fallo, ajuste la dirección inicial en 1 y elija la dirección final.</w:t>
      </w:r>
    </w:p>
    <w:p w14:paraId="0E8FB994">
      <w:pPr>
        <w:spacing w:line="250" w:lineRule="auto"/>
        <w:rPr>
          <w:sz w:val="13"/>
          <w:szCs w:val="13"/>
        </w:rPr>
        <w:sectPr>
          <w:type w:val="continuous"/>
          <w:pgSz w:w="6030" w:h="8300"/>
          <w:pgMar w:top="692" w:right="663" w:bottom="538" w:left="719" w:header="0" w:footer="448" w:gutter="0"/>
          <w:cols w:equalWidth="0" w:num="1">
            <w:col w:w="4647"/>
          </w:cols>
        </w:sectPr>
      </w:pPr>
    </w:p>
    <w:p w14:paraId="56D4005F">
      <w:pPr>
        <w:pStyle w:val="2"/>
        <w:spacing w:before="25" w:line="338" w:lineRule="auto"/>
        <w:ind w:right="37"/>
        <w:rPr>
          <w:rFonts w:hint="default"/>
          <w:lang w:val="en-US"/>
        </w:rPr>
      </w:pPr>
      <w:r>
        <w:rPr>
          <w:rFonts w:ascii="Times New Roman" w:hAnsi="黑体" w:eastAsia="黑体" w:cs="黑体"/>
          <w:snapToGrid w:val="0"/>
          <w:color w:val="000000"/>
          <w:spacing w:val="3"/>
          <w:kern w:val="0"/>
          <w:sz w:val="12"/>
          <w:szCs w:val="12"/>
          <w:lang w:val="en-US" w:eastAsia="en-US" w:bidi="ar-SA"/>
        </w:rPr>
        <w:t>Paso 5: seleccione la segunda partición. Pulse el botón ▲ en la fila del número de relé de la pantalla para designar el relé 2 como dirección inicial, luego ajústelo a 6 pulsando el mismo botón y, de forma similar, ajuste la dirección final en 10. Esta configuración se puede repetir varias veces (máximo 6 particiones). Las opciones de depuración del modo de relé incluyen salida de nivel alto, salida de nivel bajo y salida de alarma, y los métodos de partición se mantienen coherentes como se muestra en la figura 5-18.</w:t>
      </w:r>
    </w:p>
    <w:p w14:paraId="534D6D4F">
      <w:pPr>
        <w:pStyle w:val="2"/>
        <w:spacing w:line="308" w:lineRule="auto"/>
        <w:ind w:right="43" w:firstLine="260"/>
        <w:rPr>
          <w:rFonts w:hint="default"/>
          <w:lang w:val="en-US"/>
        </w:rPr>
      </w:pPr>
      <w:r>
        <w:rPr>
          <w:rFonts w:ascii="Times New Roman" w:hAnsi="黑体" w:eastAsia="黑体" w:cs="黑体"/>
          <w:snapToGrid w:val="0"/>
          <w:color w:val="000000"/>
          <w:spacing w:val="5"/>
          <w:kern w:val="0"/>
          <w:sz w:val="12"/>
          <w:szCs w:val="12"/>
          <w:lang w:val="en-US" w:eastAsia="en-US" w:bidi="ar-SA"/>
        </w:rPr>
        <w:t>(18) Ajustes de contraseña: cambie la contraseña de acceso al menú. Método: toque el campo de entrada en la esquina inferior izquierda de la pantalla, introduzca la nueva contraseña de cuatro dígitos que desea cambiar y pulse Guardar para completar la modificación. Como se muestra en la figura 5-19.</w:t>
      </w:r>
    </w:p>
    <w:p w14:paraId="4C67417B">
      <w:pPr>
        <w:spacing w:line="1599" w:lineRule="exact"/>
        <w:ind w:firstLine="1270"/>
      </w:pPr>
      <w:r>
        <w:rPr>
          <w:position w:val="-31"/>
        </w:rPr>
        <w:drawing>
          <wp:inline distT="0" distB="0" distL="0" distR="0">
            <wp:extent cx="1320165" cy="101536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70"/>
                    <a:stretch>
                      <a:fillRect/>
                    </a:stretch>
                  </pic:blipFill>
                  <pic:spPr>
                    <a:xfrm>
                      <a:off x="0" y="0"/>
                      <a:ext cx="1320792" cy="1015994"/>
                    </a:xfrm>
                    <a:prstGeom prst="rect">
                      <a:avLst/>
                    </a:prstGeom>
                  </pic:spPr>
                </pic:pic>
              </a:graphicData>
            </a:graphic>
          </wp:inline>
        </w:drawing>
      </w:r>
    </w:p>
    <w:p w14:paraId="119CD009">
      <w:pPr>
        <w:pStyle w:val="2"/>
        <w:spacing w:before="55" w:line="222" w:lineRule="auto"/>
        <w:ind w:left="2010"/>
        <w:rPr>
          <w:rFonts w:hint="default"/>
          <w:lang w:val="en-US"/>
        </w:rPr>
      </w:pPr>
      <w:r>
        <w:rPr>
          <w:rFonts w:ascii="Times New Roman" w:hAnsi="黑体" w:eastAsia="黑体" w:cs="黑体"/>
          <w:snapToGrid w:val="0"/>
          <w:color w:val="000000"/>
          <w:spacing w:val="5"/>
          <w:kern w:val="0"/>
          <w:sz w:val="12"/>
          <w:szCs w:val="12"/>
          <w:lang w:val="en-US" w:eastAsia="en-US" w:bidi="ar-SA"/>
        </w:rPr>
        <w:t>gráfico 5-19</w:t>
      </w:r>
    </w:p>
    <w:p w14:paraId="659447D5">
      <w:pPr>
        <w:pStyle w:val="2"/>
        <w:spacing w:before="65" w:line="343" w:lineRule="auto"/>
        <w:ind w:right="41" w:firstLine="260"/>
        <w:rPr>
          <w:rFonts w:hint="default"/>
          <w:lang w:val="en-US"/>
        </w:rPr>
      </w:pPr>
      <w:r>
        <w:rPr>
          <w:rFonts w:ascii="Times New Roman" w:hAnsi="黑体" w:eastAsia="黑体" w:cs="黑体"/>
          <w:snapToGrid w:val="0"/>
          <w:color w:val="000000"/>
          <w:spacing w:val="4"/>
          <w:kern w:val="0"/>
          <w:sz w:val="12"/>
          <w:szCs w:val="12"/>
          <w:lang w:val="en-US" w:eastAsia="en-US" w:bidi="ar-SA"/>
        </w:rPr>
        <w:t>(19) Buscar detector: busque detectores nuevos. Para añadir un detector, asegúrese de que la conexión se ha completado y pulse Iniciar. Cuando el estado de guardado muestre: Búsqueda completada, pulse Guardar. Como se muestra en la figura 5-20 y la figura 5-21.</w:t>
      </w:r>
    </w:p>
    <w:p w14:paraId="0C1D859D">
      <w:pPr>
        <w:spacing w:line="50" w:lineRule="exact"/>
      </w:pPr>
    </w:p>
    <w:p w14:paraId="60D992FE">
      <w:pPr>
        <w:spacing w:line="50" w:lineRule="exact"/>
        <w:sectPr>
          <w:footerReference r:id="rId19" w:type="default"/>
          <w:pgSz w:w="6030" w:h="8300"/>
          <w:pgMar w:top="684" w:right="701" w:bottom="563" w:left="709" w:header="0" w:footer="455" w:gutter="0"/>
          <w:cols w:equalWidth="0" w:num="1">
            <w:col w:w="4619"/>
          </w:cols>
        </w:sectPr>
      </w:pPr>
    </w:p>
    <w:p w14:paraId="608F578A">
      <w:pPr>
        <w:spacing w:line="1620" w:lineRule="exact"/>
        <w:ind w:firstLine="110"/>
      </w:pPr>
      <w:r>
        <w:rPr>
          <w:position w:val="-32"/>
        </w:rPr>
        <w:drawing>
          <wp:inline distT="0" distB="0" distL="0" distR="0">
            <wp:extent cx="1313815" cy="102806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71"/>
                    <a:stretch>
                      <a:fillRect/>
                    </a:stretch>
                  </pic:blipFill>
                  <pic:spPr>
                    <a:xfrm>
                      <a:off x="0" y="0"/>
                      <a:ext cx="1314436" cy="1028696"/>
                    </a:xfrm>
                    <a:prstGeom prst="rect">
                      <a:avLst/>
                    </a:prstGeom>
                  </pic:spPr>
                </pic:pic>
              </a:graphicData>
            </a:graphic>
          </wp:inline>
        </w:drawing>
      </w:r>
    </w:p>
    <w:p w14:paraId="0C5F3C3B">
      <w:pPr>
        <w:pStyle w:val="2"/>
        <w:spacing w:before="35" w:line="222" w:lineRule="auto"/>
        <w:ind w:left="950"/>
        <w:rPr>
          <w:rFonts w:hint="default"/>
          <w:lang w:val="en-US"/>
        </w:rPr>
      </w:pPr>
      <w:r>
        <w:rPr>
          <w:rFonts w:ascii="Times New Roman" w:hAnsi="黑体" w:eastAsia="黑体" w:cs="黑体"/>
          <w:snapToGrid w:val="0"/>
          <w:color w:val="000000"/>
          <w:spacing w:val="5"/>
          <w:kern w:val="0"/>
          <w:sz w:val="12"/>
          <w:szCs w:val="12"/>
          <w:lang w:val="en-US" w:eastAsia="en-US" w:bidi="ar-SA"/>
        </w:rPr>
        <w:t>gráfico 5-20</w:t>
      </w:r>
    </w:p>
    <w:p w14:paraId="7C7BAF4D">
      <w:pPr>
        <w:pStyle w:val="2"/>
        <w:spacing w:before="114" w:line="221" w:lineRule="auto"/>
        <w:rPr>
          <w:rFonts w:hint="default"/>
          <w:lang w:val="en-US"/>
        </w:rPr>
      </w:pPr>
      <w:r>
        <w:rPr>
          <w:rFonts w:ascii="Times New Roman" w:hAnsi="黑体" w:eastAsia="黑体" w:cs="黑体"/>
          <w:snapToGrid w:val="0"/>
          <w:color w:val="000000"/>
          <w:spacing w:val="6"/>
          <w:kern w:val="0"/>
          <w:sz w:val="12"/>
          <w:szCs w:val="12"/>
          <w:lang w:val="en-US" w:eastAsia="en-US" w:bidi="ar-SA"/>
        </w:rPr>
        <w:t>(20) Salir del menú: vuelva a la interfaz de monitorización normal.</w:t>
      </w:r>
    </w:p>
    <w:p w14:paraId="6E4E16A3">
      <w:pPr>
        <w:spacing w:line="34" w:lineRule="auto"/>
        <w:rPr>
          <w:rFonts w:ascii="Arial"/>
          <w:sz w:val="2"/>
        </w:rPr>
      </w:pPr>
    </w:p>
    <w:p w14:paraId="3206FE1D">
      <w:pPr>
        <w:spacing w:line="14" w:lineRule="auto"/>
        <w:rPr>
          <w:rFonts w:ascii="Arial"/>
          <w:sz w:val="2"/>
        </w:rPr>
      </w:pPr>
      <w:r>
        <w:rPr>
          <w:rFonts w:ascii="Arial" w:hAnsi="Arial" w:eastAsia="Arial" w:cs="Arial"/>
          <w:sz w:val="2"/>
          <w:szCs w:val="2"/>
        </w:rPr>
        <w:br w:type="column"/>
      </w:r>
    </w:p>
    <w:p w14:paraId="0F2DCAD3">
      <w:pPr>
        <w:spacing w:before="18" w:line="1570" w:lineRule="exact"/>
      </w:pPr>
      <w:r>
        <w:rPr>
          <w:position w:val="-31"/>
        </w:rPr>
        <w:drawing>
          <wp:inline distT="0" distB="0" distL="0" distR="0">
            <wp:extent cx="1295400" cy="99631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72"/>
                    <a:stretch>
                      <a:fillRect/>
                    </a:stretch>
                  </pic:blipFill>
                  <pic:spPr>
                    <a:xfrm>
                      <a:off x="0" y="0"/>
                      <a:ext cx="1295406" cy="996915"/>
                    </a:xfrm>
                    <a:prstGeom prst="rect">
                      <a:avLst/>
                    </a:prstGeom>
                  </pic:spPr>
                </pic:pic>
              </a:graphicData>
            </a:graphic>
          </wp:inline>
        </w:drawing>
      </w:r>
    </w:p>
    <w:p w14:paraId="5E13D693">
      <w:pPr>
        <w:pStyle w:val="2"/>
        <w:spacing w:before="65" w:line="222" w:lineRule="auto"/>
        <w:ind w:left="570"/>
        <w:rPr>
          <w:rFonts w:hint="default"/>
          <w:lang w:val="en-US"/>
        </w:rPr>
      </w:pPr>
      <w:r>
        <w:rPr>
          <w:rFonts w:ascii="Times New Roman" w:hAnsi="黑体" w:eastAsia="黑体" w:cs="黑体"/>
          <w:snapToGrid w:val="0"/>
          <w:color w:val="000000"/>
          <w:spacing w:val="8"/>
          <w:kern w:val="0"/>
          <w:sz w:val="12"/>
          <w:szCs w:val="12"/>
          <w:lang w:val="en-US" w:eastAsia="en-US" w:bidi="ar-SA"/>
        </w:rPr>
        <w:t>gráfico 5-21</w:t>
      </w:r>
    </w:p>
    <w:p w14:paraId="1C3FD63E">
      <w:pPr>
        <w:spacing w:line="222" w:lineRule="auto"/>
        <w:sectPr>
          <w:type w:val="continuous"/>
          <w:pgSz w:w="6030" w:h="8300"/>
          <w:pgMar w:top="684" w:right="701" w:bottom="563" w:left="709" w:header="0" w:footer="455" w:gutter="0"/>
          <w:cols w:equalWidth="0" w:num="2">
            <w:col w:w="2321" w:space="100"/>
            <w:col w:w="2199"/>
          </w:cols>
        </w:sectPr>
      </w:pPr>
    </w:p>
    <w:p w14:paraId="1C72FB61">
      <w:pPr>
        <w:spacing w:before="109" w:line="220" w:lineRule="exact"/>
        <w:ind w:firstLine="30"/>
      </w:pPr>
      <w:r>
        <w:rPr>
          <w:position w:val="-4"/>
        </w:rPr>
        <w:drawing>
          <wp:inline distT="0" distB="0" distL="0" distR="0">
            <wp:extent cx="1205865" cy="13970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73"/>
                    <a:stretch>
                      <a:fillRect/>
                    </a:stretch>
                  </pic:blipFill>
                  <pic:spPr>
                    <a:xfrm>
                      <a:off x="0" y="0"/>
                      <a:ext cx="1206495" cy="139720"/>
                    </a:xfrm>
                    <a:prstGeom prst="rect">
                      <a:avLst/>
                    </a:prstGeom>
                  </pic:spPr>
                </pic:pic>
              </a:graphicData>
            </a:graphic>
          </wp:inline>
        </w:drawing>
      </w:r>
    </w:p>
    <w:p w14:paraId="72C5CEE6">
      <w:pPr>
        <w:pStyle w:val="2"/>
        <w:spacing w:before="139" w:line="299" w:lineRule="auto"/>
        <w:ind w:firstLine="260"/>
        <w:rPr>
          <w:rFonts w:hint="default"/>
          <w:lang w:val="en-US"/>
        </w:rPr>
      </w:pPr>
      <w:r>
        <w:rPr>
          <w:rFonts w:ascii="Times New Roman" w:hAnsi="黑体" w:eastAsia="黑体" w:cs="黑体"/>
          <w:snapToGrid w:val="0"/>
          <w:color w:val="000000"/>
          <w:spacing w:val="3"/>
          <w:kern w:val="0"/>
          <w:sz w:val="12"/>
          <w:szCs w:val="12"/>
          <w:lang w:val="en-US" w:eastAsia="en-US" w:bidi="ar-SA"/>
        </w:rPr>
        <w:t>1. No hay visualización al arrancar: en la mayoría de los casos, el problema reside en el componente de alimentación eléctrica del sistema. Inspeccione detenidamente el circuito de alimentación o consulte a un profesional para su reparación.</w:t>
      </w:r>
    </w:p>
    <w:p w14:paraId="2EDE922A">
      <w:pPr>
        <w:pStyle w:val="2"/>
        <w:spacing w:before="82" w:line="187" w:lineRule="auto"/>
        <w:ind w:left="260"/>
        <w:rPr>
          <w:rFonts w:hint="default"/>
          <w:lang w:val="en-US"/>
        </w:rPr>
      </w:pPr>
      <w:r>
        <w:rPr>
          <w:rFonts w:ascii="Times New Roman" w:hAnsi="黑体" w:eastAsia="黑体" w:cs="黑体"/>
          <w:snapToGrid w:val="0"/>
          <w:color w:val="000000"/>
          <w:spacing w:val="3"/>
          <w:kern w:val="0"/>
          <w:sz w:val="12"/>
          <w:szCs w:val="12"/>
          <w:lang w:val="en-US" w:eastAsia="en-US" w:bidi="ar-SA"/>
        </w:rPr>
        <w:t>2. Fallo de visualización al encender: indica que no hay ningún detector conectado o que existe un contacto deficiente en el hilo conductor del detector.</w:t>
      </w:r>
    </w:p>
    <w:p w14:paraId="64345CA8">
      <w:pPr>
        <w:spacing w:line="187" w:lineRule="auto"/>
        <w:sectPr>
          <w:type w:val="continuous"/>
          <w:pgSz w:w="6030" w:h="8300"/>
          <w:pgMar w:top="684" w:right="701" w:bottom="563" w:left="709" w:header="0" w:footer="455" w:gutter="0"/>
          <w:cols w:equalWidth="0" w:num="1">
            <w:col w:w="4619"/>
          </w:cols>
        </w:sectPr>
      </w:pPr>
    </w:p>
    <w:p w14:paraId="17EC17FB">
      <w:pPr>
        <w:pStyle w:val="2"/>
        <w:spacing w:before="24" w:line="346" w:lineRule="auto"/>
        <w:ind w:right="102" w:firstLine="250"/>
        <w:rPr>
          <w:rFonts w:hint="default"/>
          <w:lang w:val="en-US"/>
        </w:rPr>
      </w:pPr>
      <w:r>
        <w:rPr>
          <w:rFonts w:ascii="Times New Roman" w:hAnsi="黑体" w:eastAsia="黑体" w:cs="黑体"/>
          <w:snapToGrid w:val="0"/>
          <w:color w:val="000000"/>
          <w:spacing w:val="4"/>
          <w:kern w:val="0"/>
          <w:sz w:val="12"/>
          <w:szCs w:val="12"/>
          <w:lang w:val="en-US" w:eastAsia="en-US" w:bidi="ar-SA"/>
        </w:rPr>
        <w:t>3. Después de conectar el detector, el detector muestra un funcionamiento normal pero el controlador muestra un fallo: esto indica un problema con la señal de salida del detector. Compruebe si la señal de corriente de salida del detector es normal.</w:t>
      </w:r>
    </w:p>
    <w:p w14:paraId="1390BAB9">
      <w:pPr>
        <w:pStyle w:val="2"/>
        <w:spacing w:line="345" w:lineRule="auto"/>
        <w:ind w:firstLine="250"/>
        <w:rPr>
          <w:rFonts w:hint="default"/>
          <w:lang w:val="en-US"/>
        </w:rPr>
      </w:pPr>
      <w:r>
        <w:rPr>
          <w:rFonts w:ascii="Times New Roman" w:hAnsi="黑体" w:eastAsia="黑体" w:cs="黑体"/>
          <w:snapToGrid w:val="0"/>
          <w:color w:val="000000"/>
          <w:spacing w:val="1"/>
          <w:kern w:val="0"/>
          <w:sz w:val="12"/>
          <w:szCs w:val="12"/>
          <w:lang w:val="en-US" w:eastAsia="en-US" w:bidi="ar-SA"/>
        </w:rPr>
        <w:t>4. Detector no encontrado: compruebe si el detector tiene el mismo número de dirección; si existe un problema de conexión entre el detector y el equipo maestro, inspeccione el cableado.</w:t>
      </w:r>
    </w:p>
    <w:p w14:paraId="6A6169C8">
      <w:pPr>
        <w:pStyle w:val="2"/>
        <w:spacing w:before="195" w:line="222" w:lineRule="auto"/>
        <w:ind w:left="82"/>
        <w:outlineLvl w:val="0"/>
        <w:rPr>
          <w:rFonts w:hint="default"/>
          <w:sz w:val="15"/>
          <w:szCs w:val="15"/>
          <w:lang w:val="en-US"/>
        </w:rPr>
      </w:pPr>
      <w:r>
        <w:rPr>
          <w:rFonts w:ascii="Times New Roman"/>
        </w:rPr>
        <w:drawing>
          <wp:anchor distT="0" distB="0" distL="0" distR="0" simplePos="0" relativeHeight="251683840" behindDoc="1" locked="0" layoutInCell="1" allowOverlap="1">
            <wp:simplePos x="0" y="0"/>
            <wp:positionH relativeFrom="column">
              <wp:posOffset>24765</wp:posOffset>
            </wp:positionH>
            <wp:positionV relativeFrom="paragraph">
              <wp:posOffset>89535</wp:posOffset>
            </wp:positionV>
            <wp:extent cx="876300" cy="146050"/>
            <wp:effectExtent l="0" t="0" r="12700" b="6350"/>
            <wp:wrapNone/>
            <wp:docPr id="35" name="IM 104"/>
            <wp:cNvGraphicFramePr/>
            <a:graphic xmlns:a="http://schemas.openxmlformats.org/drawingml/2006/main">
              <a:graphicData uri="http://schemas.openxmlformats.org/drawingml/2006/picture">
                <pic:pic xmlns:pic="http://schemas.openxmlformats.org/drawingml/2006/picture">
                  <pic:nvPicPr>
                    <pic:cNvPr id="35" name="IM 104"/>
                    <pic:cNvPicPr/>
                  </pic:nvPicPr>
                  <pic:blipFill>
                    <a:blip r:embed="rId74"/>
                    <a:stretch>
                      <a:fillRect/>
                    </a:stretch>
                  </pic:blipFill>
                  <pic:spPr>
                    <a:xfrm>
                      <a:off x="0" y="0"/>
                      <a:ext cx="876316" cy="146045"/>
                    </a:xfrm>
                    <a:prstGeom prst="rect">
                      <a:avLst/>
                    </a:prstGeom>
                  </pic:spPr>
                </pic:pic>
              </a:graphicData>
            </a:graphic>
          </wp:anchor>
        </w:drawing>
      </w:r>
      <w:bookmarkStart w:id="7" w:name="bookmark7"/>
      <w:bookmarkEnd w:id="7"/>
      <w:r>
        <w:rPr>
          <w:rFonts w:ascii="Times New Roman" w:hAnsi="黑体" w:eastAsia="黑体" w:cs="黑体"/>
          <w:b/>
          <w:bCs/>
          <w:snapToGrid w:val="0"/>
          <w:color w:val="FFFFFF"/>
          <w:spacing w:val="-3"/>
          <w:kern w:val="0"/>
          <w:sz w:val="15"/>
          <w:szCs w:val="15"/>
          <w:lang w:val="en-US" w:eastAsia="en-US" w:bidi="ar-SA"/>
        </w:rPr>
        <w:t>VII. Garantía y mantenimiento</w:t>
      </w:r>
    </w:p>
    <w:p w14:paraId="6E12A41B">
      <w:pPr>
        <w:pStyle w:val="2"/>
        <w:spacing w:before="125" w:line="369" w:lineRule="auto"/>
        <w:ind w:right="104" w:firstLine="250"/>
        <w:rPr>
          <w:rFonts w:hint="default"/>
          <w:lang w:val="en-US"/>
        </w:rPr>
      </w:pPr>
      <w:r>
        <w:rPr>
          <w:rFonts w:ascii="Times New Roman" w:hAnsi="黑体" w:eastAsia="黑体" w:cs="黑体"/>
          <w:snapToGrid w:val="0"/>
          <w:color w:val="000000"/>
          <w:spacing w:val="4"/>
          <w:kern w:val="0"/>
          <w:sz w:val="12"/>
          <w:szCs w:val="12"/>
          <w:lang w:val="en-US" w:eastAsia="en-US" w:bidi="ar-SA"/>
        </w:rPr>
        <w:t>(1) Este producto está cubierto por una garantía de un año. En caso de fallo en condiciones normales de uso, se ofrecen servicios gratuitos de reparación y mantenimiento en fábrica. Los daños causados por error humano, catástrofes naturales o uso indebido no están cubiertos por la garantía.</w:t>
      </w:r>
    </w:p>
    <w:p w14:paraId="47ABB6F1">
      <w:pPr>
        <w:pStyle w:val="2"/>
        <w:spacing w:line="366" w:lineRule="auto"/>
        <w:ind w:right="102" w:firstLine="250"/>
        <w:rPr>
          <w:rFonts w:hint="default"/>
          <w:lang w:val="en-US"/>
        </w:rPr>
      </w:pPr>
      <w:r>
        <w:rPr>
          <w:rFonts w:ascii="Times New Roman" w:hAnsi="黑体" w:eastAsia="黑体" w:cs="黑体"/>
          <w:snapToGrid w:val="0"/>
          <w:color w:val="000000"/>
          <w:spacing w:val="2"/>
          <w:kern w:val="0"/>
          <w:sz w:val="12"/>
          <w:szCs w:val="12"/>
          <w:lang w:val="en-US" w:eastAsia="en-US" w:bidi="ar-SA"/>
        </w:rPr>
        <w:t>(2) Si el usuario no puede resolver el problema y nos lo devuelve para su reparación, diagnosticaremos el problema con prontitud y entregaremos el producto de vuelta al usuario.</w:t>
      </w:r>
    </w:p>
    <w:p w14:paraId="2173A969">
      <w:pPr>
        <w:pStyle w:val="2"/>
        <w:spacing w:before="158" w:line="222" w:lineRule="auto"/>
        <w:ind w:left="82"/>
        <w:outlineLvl w:val="0"/>
        <w:rPr>
          <w:rFonts w:hint="default"/>
          <w:sz w:val="15"/>
          <w:szCs w:val="15"/>
          <w:lang w:val="en-US"/>
        </w:rPr>
      </w:pPr>
      <w:r>
        <w:rPr>
          <w:rFonts w:ascii="Times New Roman"/>
        </w:rPr>
        <w:drawing>
          <wp:anchor distT="0" distB="0" distL="0" distR="0" simplePos="0" relativeHeight="251684864" behindDoc="1" locked="0" layoutInCell="1" allowOverlap="1">
            <wp:simplePos x="0" y="0"/>
            <wp:positionH relativeFrom="column">
              <wp:posOffset>24765</wp:posOffset>
            </wp:positionH>
            <wp:positionV relativeFrom="paragraph">
              <wp:posOffset>53975</wp:posOffset>
            </wp:positionV>
            <wp:extent cx="590550" cy="146050"/>
            <wp:effectExtent l="0" t="0" r="19050" b="6350"/>
            <wp:wrapNone/>
            <wp:docPr id="37" name="IM 106"/>
            <wp:cNvGraphicFramePr/>
            <a:graphic xmlns:a="http://schemas.openxmlformats.org/drawingml/2006/main">
              <a:graphicData uri="http://schemas.openxmlformats.org/drawingml/2006/picture">
                <pic:pic xmlns:pic="http://schemas.openxmlformats.org/drawingml/2006/picture">
                  <pic:nvPicPr>
                    <pic:cNvPr id="37" name="IM 106"/>
                    <pic:cNvPicPr/>
                  </pic:nvPicPr>
                  <pic:blipFill>
                    <a:blip r:embed="rId75"/>
                    <a:stretch>
                      <a:fillRect/>
                    </a:stretch>
                  </pic:blipFill>
                  <pic:spPr>
                    <a:xfrm>
                      <a:off x="0" y="0"/>
                      <a:ext cx="590554" cy="146045"/>
                    </a:xfrm>
                    <a:prstGeom prst="rect">
                      <a:avLst/>
                    </a:prstGeom>
                  </pic:spPr>
                </pic:pic>
              </a:graphicData>
            </a:graphic>
          </wp:anchor>
        </w:drawing>
      </w:r>
      <w:bookmarkStart w:id="8" w:name="bookmark8"/>
      <w:bookmarkEnd w:id="8"/>
      <w:r>
        <w:rPr>
          <w:rFonts w:ascii="Times New Roman" w:hAnsi="黑体" w:eastAsia="黑体" w:cs="黑体"/>
          <w:b/>
          <w:bCs/>
          <w:snapToGrid w:val="0"/>
          <w:color w:val="FFFFFF"/>
          <w:spacing w:val="-3"/>
          <w:kern w:val="0"/>
          <w:sz w:val="15"/>
          <w:szCs w:val="15"/>
          <w:lang w:val="en-US" w:eastAsia="en-US" w:bidi="ar-SA"/>
        </w:rPr>
        <w:t>VIII. Almacenamiento</w:t>
      </w:r>
    </w:p>
    <w:p w14:paraId="1767115A">
      <w:pPr>
        <w:pStyle w:val="2"/>
        <w:spacing w:before="175" w:line="363" w:lineRule="auto"/>
        <w:ind w:right="143" w:firstLine="250"/>
        <w:rPr>
          <w:rFonts w:hint="default"/>
          <w:lang w:val="en-US"/>
        </w:rPr>
      </w:pPr>
      <w:r>
        <w:rPr>
          <w:rFonts w:ascii="Times New Roman" w:hAnsi="黑体" w:eastAsia="黑体" w:cs="黑体"/>
          <w:snapToGrid w:val="0"/>
          <w:color w:val="000000"/>
          <w:spacing w:val="4"/>
          <w:kern w:val="0"/>
          <w:sz w:val="12"/>
          <w:szCs w:val="12"/>
          <w:lang w:val="en-US" w:eastAsia="en-US" w:bidi="ar-SA"/>
        </w:rPr>
        <w:t>El controlador debe almacenarse en una sala ventilada con una temperatura ambiente de 0°C a 55°C y una humedad relativa que no supere el 85% RH, y el aire debe estar libre de gases nocivos o impurezas que puedan provocar corrosión al controlador.</w:t>
      </w:r>
    </w:p>
    <w:p w14:paraId="74595E4C">
      <w:pPr>
        <w:pStyle w:val="2"/>
        <w:spacing w:before="154" w:line="223" w:lineRule="auto"/>
        <w:ind w:left="82"/>
        <w:outlineLvl w:val="0"/>
        <w:rPr>
          <w:rFonts w:hint="default"/>
          <w:sz w:val="15"/>
          <w:szCs w:val="15"/>
          <w:lang w:val="en-US"/>
        </w:rPr>
      </w:pPr>
      <w:r>
        <w:rPr>
          <w:rFonts w:ascii="Times New Roman"/>
        </w:rPr>
        <w:drawing>
          <wp:anchor distT="0" distB="0" distL="0" distR="0" simplePos="0" relativeHeight="251685888" behindDoc="1" locked="0" layoutInCell="1" allowOverlap="1">
            <wp:simplePos x="0" y="0"/>
            <wp:positionH relativeFrom="column">
              <wp:posOffset>6350</wp:posOffset>
            </wp:positionH>
            <wp:positionV relativeFrom="paragraph">
              <wp:posOffset>37465</wp:posOffset>
            </wp:positionV>
            <wp:extent cx="546100" cy="146050"/>
            <wp:effectExtent l="0" t="0" r="12700" b="6350"/>
            <wp:wrapNone/>
            <wp:docPr id="39" name="IM 108"/>
            <wp:cNvGraphicFramePr/>
            <a:graphic xmlns:a="http://schemas.openxmlformats.org/drawingml/2006/main">
              <a:graphicData uri="http://schemas.openxmlformats.org/drawingml/2006/picture">
                <pic:pic xmlns:pic="http://schemas.openxmlformats.org/drawingml/2006/picture">
                  <pic:nvPicPr>
                    <pic:cNvPr id="39" name="IM 108"/>
                    <pic:cNvPicPr/>
                  </pic:nvPicPr>
                  <pic:blipFill>
                    <a:blip r:embed="rId76"/>
                    <a:stretch>
                      <a:fillRect/>
                    </a:stretch>
                  </pic:blipFill>
                  <pic:spPr>
                    <a:xfrm>
                      <a:off x="0" y="0"/>
                      <a:ext cx="546099" cy="146045"/>
                    </a:xfrm>
                    <a:prstGeom prst="rect">
                      <a:avLst/>
                    </a:prstGeom>
                  </pic:spPr>
                </pic:pic>
              </a:graphicData>
            </a:graphic>
          </wp:anchor>
        </w:drawing>
      </w:r>
      <w:bookmarkStart w:id="9" w:name="bookmark9"/>
      <w:bookmarkEnd w:id="9"/>
      <w:r>
        <w:rPr>
          <w:rFonts w:ascii="Times New Roman" w:hAnsi="黑体" w:eastAsia="黑体" w:cs="黑体"/>
          <w:b/>
          <w:bCs/>
          <w:snapToGrid w:val="0"/>
          <w:color w:val="FFFFFF"/>
          <w:spacing w:val="1"/>
          <w:kern w:val="0"/>
          <w:sz w:val="15"/>
          <w:szCs w:val="15"/>
          <w:lang w:val="en-US" w:eastAsia="en-US" w:bidi="ar-SA"/>
        </w:rPr>
        <w:t>IX. Accesorios</w:t>
      </w:r>
    </w:p>
    <w:p w14:paraId="19CE1857">
      <w:pPr>
        <w:pStyle w:val="2"/>
        <w:spacing w:before="149" w:line="324" w:lineRule="auto"/>
        <w:ind w:right="212" w:firstLine="250"/>
        <w:rPr>
          <w:rFonts w:hint="default"/>
          <w:lang w:val="en-US"/>
        </w:rPr>
      </w:pPr>
      <w:r>
        <w:rPr>
          <w:rFonts w:ascii="Times New Roman" w:hAnsi="黑体" w:eastAsia="黑体" w:cs="黑体"/>
          <w:snapToGrid w:val="0"/>
          <w:color w:val="000000"/>
          <w:spacing w:val="4"/>
          <w:kern w:val="0"/>
          <w:sz w:val="12"/>
          <w:szCs w:val="12"/>
          <w:lang w:val="en-US" w:eastAsia="en-US" w:bidi="ar-SA"/>
        </w:rPr>
        <w:t>Los productos que se incluyen son un controlador, un manual de usuario, un certificado de conformidad del producto y tarjeta de garantía, un informe de inspección de fábrica, una placa posterior de instalación, un conector estanco y una bolsa de otros accesorios.</w:t>
      </w:r>
    </w:p>
    <w:p w14:paraId="09592BB1">
      <w:pPr>
        <w:spacing w:line="324" w:lineRule="auto"/>
        <w:sectPr>
          <w:footerReference r:id="rId20" w:type="default"/>
          <w:pgSz w:w="6030" w:h="8300"/>
          <w:pgMar w:top="674" w:right="630" w:bottom="563" w:left="680" w:header="0" w:footer="455" w:gutter="0"/>
          <w:cols w:space="720" w:num="1"/>
        </w:sectPr>
      </w:pPr>
    </w:p>
    <w:p w14:paraId="68BB7F97">
      <w:pPr>
        <w:spacing w:line="313" w:lineRule="auto"/>
        <w:rPr>
          <w:rFonts w:ascii="Arial"/>
          <w:sz w:val="21"/>
        </w:rPr>
      </w:pPr>
    </w:p>
    <w:p w14:paraId="3ED65F13">
      <w:pPr>
        <w:spacing w:line="313" w:lineRule="auto"/>
        <w:rPr>
          <w:rFonts w:ascii="Arial"/>
          <w:sz w:val="21"/>
        </w:rPr>
      </w:pPr>
    </w:p>
    <w:p w14:paraId="412AA255">
      <w:pPr>
        <w:spacing w:line="313" w:lineRule="auto"/>
        <w:rPr>
          <w:rFonts w:ascii="Arial"/>
          <w:sz w:val="21"/>
        </w:rPr>
      </w:pPr>
    </w:p>
    <w:p w14:paraId="2468883C">
      <w:pPr>
        <w:spacing w:before="95" w:line="199" w:lineRule="auto"/>
        <w:ind w:left="1449"/>
        <w:rPr>
          <w:rFonts w:hint="default" w:ascii="Arial" w:hAnsi="Arial" w:eastAsia="Arial" w:cs="Arial"/>
          <w:sz w:val="33"/>
          <w:szCs w:val="33"/>
          <w:lang w:val="en-US"/>
        </w:rPr>
      </w:pPr>
      <w:r>
        <w:rPr>
          <w:rFonts w:ascii="Times New Roman" w:hAnsi="Arial" w:eastAsia="Arial" w:cs="Arial"/>
          <w:b/>
          <w:bCs/>
          <w:snapToGrid w:val="0"/>
          <w:color w:val="000000"/>
          <w:spacing w:val="-2"/>
          <w:kern w:val="0"/>
          <w:sz w:val="33"/>
          <w:szCs w:val="33"/>
          <w:lang w:val="en-US" w:eastAsia="en-US" w:bidi="ar-SA"/>
        </w:rPr>
        <w:t>Otywell ®</w:t>
      </w:r>
    </w:p>
    <w:p w14:paraId="0FCEEF5C">
      <w:pPr>
        <w:spacing w:before="155" w:line="241" w:lineRule="auto"/>
        <w:ind w:left="1484"/>
        <w:rPr>
          <w:rFonts w:hint="default" w:ascii="华文行楷" w:hAnsi="华文行楷" w:eastAsia="华文行楷" w:cs="华文行楷"/>
          <w:sz w:val="33"/>
          <w:szCs w:val="33"/>
          <w:lang w:val="en-US"/>
        </w:rPr>
      </w:pPr>
    </w:p>
    <w:p w14:paraId="14EF16C6">
      <w:pPr>
        <w:pStyle w:val="2"/>
        <w:spacing w:before="246" w:line="222" w:lineRule="auto"/>
        <w:ind w:left="1113"/>
        <w:rPr>
          <w:rFonts w:hint="default"/>
          <w:sz w:val="25"/>
          <w:szCs w:val="25"/>
          <w:lang w:val="en-US"/>
        </w:rPr>
      </w:pPr>
      <w:r>
        <w:rPr>
          <w:rFonts w:ascii="Times New Roman" w:hAnsi="黑体" w:eastAsia="黑体" w:cs="黑体"/>
          <w:b/>
          <w:bCs/>
          <w:snapToGrid w:val="0"/>
          <w:color w:val="000000"/>
          <w:spacing w:val="8"/>
          <w:kern w:val="0"/>
          <w:sz w:val="25"/>
          <w:szCs w:val="25"/>
          <w:lang w:val="en-US" w:eastAsia="en-US" w:bidi="ar-SA"/>
        </w:rPr>
        <w:t>La excelencia en la calidad garantiza la fiabilidad</w:t>
      </w:r>
    </w:p>
    <w:p w14:paraId="36B7D8E4">
      <w:pPr>
        <w:pStyle w:val="2"/>
        <w:spacing w:before="298" w:line="222" w:lineRule="auto"/>
        <w:ind w:left="762"/>
        <w:rPr>
          <w:rFonts w:hint="default"/>
          <w:sz w:val="20"/>
          <w:szCs w:val="20"/>
          <w:lang w:val="en-US"/>
        </w:rPr>
      </w:pPr>
      <w:r>
        <w:rPr>
          <w:rFonts w:ascii="Times New Roman" w:hAnsi="黑体" w:eastAsia="黑体" w:cs="黑体"/>
          <w:b/>
          <w:bCs/>
          <w:snapToGrid w:val="0"/>
          <w:color w:val="000000"/>
          <w:spacing w:val="-3"/>
          <w:kern w:val="0"/>
          <w:sz w:val="20"/>
          <w:szCs w:val="20"/>
          <w:u w:val="single" w:color="auto"/>
          <w:lang w:val="en-US" w:eastAsia="en-US" w:bidi="ar-SA"/>
        </w:rPr>
        <w:t xml:space="preserve">Henan Otywell Electronic Technology Co., Ltd.</w:t>
      </w:r>
      <w:r>
        <w:rPr>
          <w:rFonts w:hint="default" w:ascii="Times New Roman" w:cs="黑体"/>
          <w:b/>
          <w:bCs/>
          <w:snapToGrid w:val="0"/>
          <w:color w:val="000000"/>
          <w:spacing w:val="-3"/>
          <w:kern w:val="0"/>
          <w:sz w:val="20"/>
          <w:szCs w:val="20"/>
          <w:u w:val="single" w:color="auto"/>
          <w:lang w:val="en-US" w:eastAsia="en-US" w:bidi="ar-SA"/>
        </w:rPr>
        <w:t xml:space="preserve"/>
      </w:r>
      <w:r>
        <w:rPr>
          <w:rFonts w:ascii="Times New Roman" w:hAnsi="黑体" w:eastAsia="黑体" w:cs="黑体"/>
          <w:b/>
          <w:bCs/>
          <w:snapToGrid w:val="0"/>
          <w:color w:val="000000"/>
          <w:spacing w:val="-3"/>
          <w:kern w:val="0"/>
          <w:sz w:val="20"/>
          <w:szCs w:val="20"/>
          <w:u w:val="single" w:color="auto"/>
          <w:lang w:val="en-US" w:eastAsia="en-US" w:bidi="ar-SA"/>
        </w:rPr>
        <w:t/>
      </w:r>
    </w:p>
    <w:p w14:paraId="1AE8CFB2">
      <w:pPr>
        <w:spacing w:line="424" w:lineRule="auto"/>
        <w:rPr>
          <w:rFonts w:ascii="Arial"/>
          <w:sz w:val="21"/>
        </w:rPr>
      </w:pPr>
    </w:p>
    <w:p w14:paraId="3974A89E">
      <w:pPr>
        <w:pStyle w:val="2"/>
        <w:spacing w:before="43" w:line="221" w:lineRule="auto"/>
        <w:ind w:left="59"/>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Dirección: Unidad 2, Edificio 38, Lian Dong U Valley, intersección de la calle Jianyang y la calle Lianhua, Zona de Alta Tecnología, ciudad de Zhengzhou, provincia de Henan</w:t>
      </w:r>
    </w:p>
    <w:p w14:paraId="4366B969">
      <w:pPr>
        <w:pStyle w:val="2"/>
        <w:spacing w:before="132" w:line="217" w:lineRule="auto"/>
        <w:ind w:left="1190"/>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Sitio web: http://www.otywell.com</w:t>
      </w:r>
    </w:p>
    <w:p w14:paraId="4D4D0F3F">
      <w:pPr>
        <w:pStyle w:val="2"/>
        <w:spacing w:before="101" w:line="224" w:lineRule="auto"/>
        <w:ind w:left="1190"/>
        <w:rPr>
          <w:rFonts w:hint="default"/>
          <w:sz w:val="13"/>
          <w:szCs w:val="13"/>
          <w:lang w:val="en-US"/>
        </w:rPr>
      </w:pPr>
      <w:r>
        <w:rPr>
          <w:rFonts w:ascii="Times New Roman" w:hAnsi="黑体" w:eastAsia="黑体" w:cs="黑体"/>
          <w:snapToGrid w:val="0"/>
          <w:color w:val="000000"/>
          <w:spacing w:val="10"/>
          <w:kern w:val="0"/>
          <w:sz w:val="13"/>
          <w:szCs w:val="13"/>
          <w:lang w:val="en-US" w:eastAsia="en-US" w:bidi="ar-SA"/>
        </w:rPr>
        <w:t>Tel.: 0371-8662882086628821</w:t>
      </w:r>
    </w:p>
    <w:p w14:paraId="6CFD6E3B">
      <w:pPr>
        <w:pStyle w:val="2"/>
        <w:spacing w:before="112" w:line="224" w:lineRule="auto"/>
        <w:ind w:left="157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Teléfono: 400-811-8873</w:t>
      </w:r>
    </w:p>
    <w:p w14:paraId="144513E4">
      <w:pPr>
        <w:spacing w:before="175"/>
      </w:pPr>
    </w:p>
    <w:p w14:paraId="79608B09">
      <w:pPr>
        <w:sectPr>
          <w:footerReference r:id="rId21" w:type="default"/>
          <w:pgSz w:w="6030" w:h="8300"/>
          <w:pgMar w:top="705" w:right="720" w:bottom="400" w:left="859" w:header="0" w:footer="0" w:gutter="0"/>
          <w:cols w:equalWidth="0" w:num="1">
            <w:col w:w="4450"/>
          </w:cols>
        </w:sectPr>
      </w:pPr>
    </w:p>
    <w:p w14:paraId="08C1646E">
      <w:pPr>
        <w:spacing w:line="1240" w:lineRule="exact"/>
      </w:pPr>
      <w:r>
        <w:rPr>
          <w:position w:val="-24"/>
        </w:rPr>
        <w:drawing>
          <wp:inline distT="0" distB="0" distL="0" distR="0">
            <wp:extent cx="787400" cy="78740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77"/>
                    <a:stretch>
                      <a:fillRect/>
                    </a:stretch>
                  </pic:blipFill>
                  <pic:spPr>
                    <a:xfrm>
                      <a:off x="0" y="0"/>
                      <a:ext cx="787405" cy="787412"/>
                    </a:xfrm>
                    <a:prstGeom prst="rect">
                      <a:avLst/>
                    </a:prstGeom>
                  </pic:spPr>
                </pic:pic>
              </a:graphicData>
            </a:graphic>
          </wp:inline>
        </w:drawing>
      </w:r>
    </w:p>
    <w:p w14:paraId="48B68306">
      <w:pPr>
        <w:pStyle w:val="2"/>
        <w:tabs>
          <w:tab w:val="left" w:pos="249"/>
        </w:tabs>
        <w:spacing w:before="74" w:line="223" w:lineRule="auto"/>
        <w:rPr>
          <w:rFonts w:hint="default"/>
          <w:sz w:val="13"/>
          <w:szCs w:val="13"/>
          <w:lang w:val="en-US"/>
        </w:rPr>
      </w:pPr>
      <w:r>
        <w:rPr>
          <w:rFonts w:ascii="Times New Roman" w:hAnsi="黑体" w:eastAsia="黑体" w:cs="黑体"/>
          <w:b/>
          <w:bCs/>
          <w:snapToGrid w:val="0"/>
          <w:color w:val="000000"/>
          <w:spacing w:val="-6"/>
          <w:kern w:val="0"/>
          <w:sz w:val="13"/>
          <w:szCs w:val="13"/>
          <w:lang w:val="en-US" w:eastAsia="en-US" w:bidi="ar-SA"/>
        </w:rPr>
        <w:t>Cuenta oficial de WeChat</w:t>
      </w:r>
    </w:p>
    <w:p w14:paraId="0A688A4B">
      <w:pPr>
        <w:spacing w:line="14" w:lineRule="auto"/>
        <w:rPr>
          <w:rFonts w:ascii="Arial"/>
          <w:sz w:val="2"/>
        </w:rPr>
      </w:pPr>
      <w:r>
        <w:rPr>
          <w:rFonts w:ascii="Arial" w:hAnsi="Arial" w:eastAsia="Arial" w:cs="Arial"/>
          <w:sz w:val="2"/>
          <w:szCs w:val="2"/>
        </w:rPr>
        <w:br w:type="column"/>
      </w:r>
    </w:p>
    <w:p w14:paraId="7A3B7B6A">
      <w:pPr>
        <w:spacing w:before="29" w:line="1220" w:lineRule="exact"/>
      </w:pPr>
      <w:r>
        <w:drawing>
          <wp:anchor distT="0" distB="0" distL="0" distR="0" simplePos="0" relativeHeight="251662336" behindDoc="0" locked="0" layoutInCell="1" allowOverlap="1">
            <wp:simplePos x="0" y="0"/>
            <wp:positionH relativeFrom="column">
              <wp:posOffset>1034415</wp:posOffset>
            </wp:positionH>
            <wp:positionV relativeFrom="paragraph">
              <wp:posOffset>93980</wp:posOffset>
            </wp:positionV>
            <wp:extent cx="635000" cy="64770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78"/>
                    <a:stretch>
                      <a:fillRect/>
                    </a:stretch>
                  </pic:blipFill>
                  <pic:spPr>
                    <a:xfrm>
                      <a:off x="0" y="0"/>
                      <a:ext cx="635009" cy="647691"/>
                    </a:xfrm>
                    <a:prstGeom prst="rect">
                      <a:avLst/>
                    </a:prstGeom>
                  </pic:spPr>
                </pic:pic>
              </a:graphicData>
            </a:graphic>
          </wp:anchor>
        </w:drawing>
      </w:r>
      <w:r>
        <w:rPr>
          <w:position w:val="-24"/>
        </w:rPr>
        <w:drawing>
          <wp:inline distT="0" distB="0" distL="0" distR="0">
            <wp:extent cx="767715" cy="77470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79"/>
                    <a:stretch>
                      <a:fillRect/>
                    </a:stretch>
                  </pic:blipFill>
                  <pic:spPr>
                    <a:xfrm>
                      <a:off x="0" y="0"/>
                      <a:ext cx="768337" cy="774710"/>
                    </a:xfrm>
                    <a:prstGeom prst="rect">
                      <a:avLst/>
                    </a:prstGeom>
                  </pic:spPr>
                </pic:pic>
              </a:graphicData>
            </a:graphic>
          </wp:inline>
        </w:drawing>
      </w:r>
    </w:p>
    <w:p w14:paraId="69BCF529">
      <w:pPr>
        <w:pStyle w:val="2"/>
        <w:spacing w:before="54" w:line="237" w:lineRule="auto"/>
        <w:ind w:left="101"/>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Paquete de instalación de la APP Zhihui Cloud Mini programa de WeChat Zhihui Cloud</w:t>
      </w:r>
    </w:p>
    <w:p w14:paraId="578F9064">
      <w:pPr>
        <w:pStyle w:val="2"/>
        <w:spacing w:before="26" w:line="187" w:lineRule="auto"/>
        <w:jc w:val="both"/>
        <w:rPr>
          <w:rFonts w:hint="default"/>
          <w:sz w:val="13"/>
          <w:szCs w:val="13"/>
          <w:lang w:val="en-US"/>
        </w:rPr>
      </w:pPr>
    </w:p>
    <w:sectPr>
      <w:type w:val="continuous"/>
      <w:pgSz w:w="6030" w:h="8300"/>
      <w:pgMar w:top="705" w:right="720" w:bottom="400" w:left="859" w:header="0" w:footer="0" w:gutter="0"/>
      <w:cols w:equalWidth="0" w:num="2">
        <w:col w:w="1631" w:space="100"/>
        <w:col w:w="27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0169">
    <w:pPr>
      <w:spacing w:line="170" w:lineRule="auto"/>
      <w:ind w:left="222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0AFCE">
    <w:pPr>
      <w:spacing w:line="170" w:lineRule="auto"/>
      <w:ind w:left="2259"/>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1FA11">
    <w:pPr>
      <w:spacing w:line="169" w:lineRule="auto"/>
      <w:ind w:left="2258"/>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03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726F">
    <w:pPr>
      <w:spacing w:line="170" w:lineRule="auto"/>
      <w:ind w:left="223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71A57">
    <w:pPr>
      <w:spacing w:line="170" w:lineRule="auto"/>
      <w:ind w:left="2249"/>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D288">
    <w:pPr>
      <w:spacing w:line="170" w:lineRule="auto"/>
      <w:ind w:left="2611"/>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CCE26">
    <w:pPr>
      <w:spacing w:line="169" w:lineRule="auto"/>
      <w:ind w:left="224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07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FA02">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1"/>
        <w:kern w:val="0"/>
        <w:sz w:val="10"/>
        <w:szCs w:val="10"/>
        <w:lang w:val="en-US" w:eastAsia="en-US" w:bidi="ar-SA"/>
      </w:rPr>
      <w:t>08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5276B">
    <w:pPr>
      <w:spacing w:line="167" w:lineRule="auto"/>
      <w:ind w:left="2228"/>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1"/>
        <w:kern w:val="0"/>
        <w:sz w:val="10"/>
        <w:szCs w:val="10"/>
        <w:lang w:val="en-US" w:eastAsia="en-US" w:bidi="ar-SA"/>
      </w:rPr>
      <w:t>09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A168">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8B462">
    <w:pPr>
      <w:spacing w:line="167" w:lineRule="auto"/>
      <w:ind w:left="2239"/>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0A1AC">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746C6">
    <w:pPr>
      <w:spacing w:line="167" w:lineRule="auto"/>
      <w:ind w:left="2259"/>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12AC6">
    <w:pPr>
      <w:spacing w:line="167" w:lineRule="auto"/>
      <w:ind w:left="222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5E6DE">
    <w:pPr>
      <w:spacing w:line="170" w:lineRule="auto"/>
      <w:ind w:left="223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4"/>
        <w:kern w:val="0"/>
        <w:sz w:val="12"/>
        <w:szCs w:val="12"/>
        <w:lang w:val="en-US" w:eastAsia="en-US" w:bidi="ar-SA"/>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DD7BC">
    <w:pPr>
      <w:spacing w:line="170" w:lineRule="auto"/>
      <w:ind w:left="2259"/>
      <w:rPr>
        <w:rFonts w:hint="default" w:ascii="Times New Roman" w:hAnsi="Times New Roman" w:eastAsia="Times New Roman" w:cs="Times New Roman"/>
        <w:sz w:val="12"/>
        <w:szCs w:val="12"/>
        <w:lang w:val="en-US"/>
      </w:rPr>
    </w:pPr>
    <w:r>
      <w:rPr>
        <w:rFonts w:ascii="Times New Roman" w:hAnsi="Times New Roman" w:eastAsia="Times New Roman" w:cs="Times New Roman"/>
        <w:b/>
        <w:bCs/>
        <w:snapToGrid w:val="0"/>
        <w:color w:val="000000"/>
        <w:spacing w:val="-2"/>
        <w:kern w:val="0"/>
        <w:sz w:val="12"/>
        <w:szCs w:val="12"/>
        <w:lang w:val="en-US" w:eastAsia="en-US" w:bidi="ar-SA"/>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087FB">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dit="readOnly"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DBD5D41"/>
    <w:rsid w:val="6EDBB4F0"/>
    <w:rsid w:val="7B7A35CD"/>
    <w:rsid w:val="7BE6EE93"/>
    <w:rsid w:val="7FDF0D36"/>
    <w:rsid w:val="B7BFF908"/>
    <w:rsid w:val="DBF7DF0D"/>
    <w:rsid w:val="EFF748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12"/>
      <w:szCs w:val="1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4.xml"/><Relationship Id="rId79" Type="http://schemas.openxmlformats.org/officeDocument/2006/relationships/image" Target="media/image57.jpeg"/><Relationship Id="rId78" Type="http://schemas.openxmlformats.org/officeDocument/2006/relationships/image" Target="media/image56.jpeg"/><Relationship Id="rId77" Type="http://schemas.openxmlformats.org/officeDocument/2006/relationships/image" Target="media/image55.jpeg"/><Relationship Id="rId76" Type="http://schemas.openxmlformats.org/officeDocument/2006/relationships/image" Target="media/image54.jpeg"/><Relationship Id="rId75" Type="http://schemas.openxmlformats.org/officeDocument/2006/relationships/image" Target="media/image53.jpeg"/><Relationship Id="rId74" Type="http://schemas.openxmlformats.org/officeDocument/2006/relationships/image" Target="media/image52.jpeg"/><Relationship Id="rId73" Type="http://schemas.openxmlformats.org/officeDocument/2006/relationships/image" Target="media/image51.jpeg"/><Relationship Id="rId72" Type="http://schemas.openxmlformats.org/officeDocument/2006/relationships/image" Target="media/image50.jpeg"/><Relationship Id="rId71" Type="http://schemas.openxmlformats.org/officeDocument/2006/relationships/image" Target="media/image49.jpeg"/><Relationship Id="rId70" Type="http://schemas.openxmlformats.org/officeDocument/2006/relationships/image" Target="media/image48.jpeg"/><Relationship Id="rId7" Type="http://schemas.openxmlformats.org/officeDocument/2006/relationships/footer" Target="footer3.xml"/><Relationship Id="rId69" Type="http://schemas.openxmlformats.org/officeDocument/2006/relationships/image" Target="media/image47.jpeg"/><Relationship Id="rId68" Type="http://schemas.openxmlformats.org/officeDocument/2006/relationships/image" Target="media/image46.jpeg"/><Relationship Id="rId67" Type="http://schemas.openxmlformats.org/officeDocument/2006/relationships/image" Target="media/image45.jpeg"/><Relationship Id="rId66" Type="http://schemas.openxmlformats.org/officeDocument/2006/relationships/image" Target="media/image44.jpeg"/><Relationship Id="rId65" Type="http://schemas.openxmlformats.org/officeDocument/2006/relationships/image" Target="media/image43.jpeg"/><Relationship Id="rId64" Type="http://schemas.openxmlformats.org/officeDocument/2006/relationships/image" Target="media/image42.jpeg"/><Relationship Id="rId63" Type="http://schemas.openxmlformats.org/officeDocument/2006/relationships/image" Target="media/image41.jpeg"/><Relationship Id="rId62" Type="http://schemas.openxmlformats.org/officeDocument/2006/relationships/image" Target="media/image40.jpeg"/><Relationship Id="rId61" Type="http://schemas.openxmlformats.org/officeDocument/2006/relationships/image" Target="media/image39.jpeg"/><Relationship Id="rId60" Type="http://schemas.openxmlformats.org/officeDocument/2006/relationships/image" Target="media/image38.jpeg"/><Relationship Id="rId6" Type="http://schemas.openxmlformats.org/officeDocument/2006/relationships/footer" Target="footer2.xml"/><Relationship Id="rId59" Type="http://schemas.openxmlformats.org/officeDocument/2006/relationships/image" Target="media/image37.jpeg"/><Relationship Id="rId58" Type="http://schemas.openxmlformats.org/officeDocument/2006/relationships/image" Target="media/image36.jpeg"/><Relationship Id="rId57" Type="http://schemas.openxmlformats.org/officeDocument/2006/relationships/image" Target="media/image35.jpeg"/><Relationship Id="rId56" Type="http://schemas.openxmlformats.org/officeDocument/2006/relationships/image" Target="media/image34.jpeg"/><Relationship Id="rId55" Type="http://schemas.openxmlformats.org/officeDocument/2006/relationships/image" Target="media/image33.jpeg"/><Relationship Id="rId54" Type="http://schemas.openxmlformats.org/officeDocument/2006/relationships/image" Target="media/image32.jpeg"/><Relationship Id="rId53" Type="http://schemas.openxmlformats.org/officeDocument/2006/relationships/image" Target="media/image31.jpeg"/><Relationship Id="rId52" Type="http://schemas.openxmlformats.org/officeDocument/2006/relationships/image" Target="media/image30.jpeg"/><Relationship Id="rId51" Type="http://schemas.openxmlformats.org/officeDocument/2006/relationships/image" Target="media/image29.jpeg"/><Relationship Id="rId50" Type="http://schemas.openxmlformats.org/officeDocument/2006/relationships/image" Target="media/image28.jpeg"/><Relationship Id="rId5" Type="http://schemas.openxmlformats.org/officeDocument/2006/relationships/footer" Target="footer1.xml"/><Relationship Id="rId49" Type="http://schemas.openxmlformats.org/officeDocument/2006/relationships/image" Target="media/image27.png"/><Relationship Id="rId48" Type="http://schemas.openxmlformats.org/officeDocument/2006/relationships/image" Target="media/image26.jpeg"/><Relationship Id="rId47" Type="http://schemas.openxmlformats.org/officeDocument/2006/relationships/image" Target="media/image25.jpeg"/><Relationship Id="rId46" Type="http://schemas.openxmlformats.org/officeDocument/2006/relationships/image" Target="media/image24.jpeg"/><Relationship Id="rId45" Type="http://schemas.openxmlformats.org/officeDocument/2006/relationships/image" Target="media/image23.jpeg"/><Relationship Id="rId44" Type="http://schemas.openxmlformats.org/officeDocument/2006/relationships/image" Target="media/image22.jpeg"/><Relationship Id="rId43" Type="http://schemas.openxmlformats.org/officeDocument/2006/relationships/image" Target="media/image21.jpeg"/><Relationship Id="rId42" Type="http://schemas.openxmlformats.org/officeDocument/2006/relationships/image" Target="media/image20.jpeg"/><Relationship Id="rId41" Type="http://schemas.openxmlformats.org/officeDocument/2006/relationships/image" Target="media/image19.jpeg"/><Relationship Id="rId40" Type="http://schemas.openxmlformats.org/officeDocument/2006/relationships/image" Target="media/image18.jpeg"/><Relationship Id="rId4" Type="http://schemas.openxmlformats.org/officeDocument/2006/relationships/endnotes" Target="endnotes.xml"/><Relationship Id="rId39" Type="http://schemas.openxmlformats.org/officeDocument/2006/relationships/image" Target="media/image17.jpeg"/><Relationship Id="rId38" Type="http://schemas.openxmlformats.org/officeDocument/2006/relationships/image" Target="media/image16.jpeg"/><Relationship Id="rId37" Type="http://schemas.openxmlformats.org/officeDocument/2006/relationships/image" Target="media/image15.jpeg"/><Relationship Id="rId36" Type="http://schemas.openxmlformats.org/officeDocument/2006/relationships/image" Target="media/image14.jpeg"/><Relationship Id="rId35" Type="http://schemas.openxmlformats.org/officeDocument/2006/relationships/image" Target="media/image13.jpeg"/><Relationship Id="rId34" Type="http://schemas.openxmlformats.org/officeDocument/2006/relationships/image" Target="media/image12.jpeg"/><Relationship Id="rId33" Type="http://schemas.openxmlformats.org/officeDocument/2006/relationships/image" Target="media/image11.jpeg"/><Relationship Id="rId32" Type="http://schemas.openxmlformats.org/officeDocument/2006/relationships/image" Target="media/image10.jpeg"/><Relationship Id="rId31" Type="http://schemas.openxmlformats.org/officeDocument/2006/relationships/image" Target="media/image9.jpeg"/><Relationship Id="rId30" Type="http://schemas.openxmlformats.org/officeDocument/2006/relationships/image" Target="media/image8.jpeg"/><Relationship Id="rId3" Type="http://schemas.openxmlformats.org/officeDocument/2006/relationships/footnotes" Target="footnotes.xml"/><Relationship Id="rId29" Type="http://schemas.openxmlformats.org/officeDocument/2006/relationships/image" Target="media/image7.jpeg"/><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36"/>
    <customShpInfo spid="_x0000_s1037"/>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4175</Words>
  <Characters>23508</Characters>
  <TotalTime>5</TotalTime>
  <ScaleCrop>false</ScaleCrop>
  <LinksUpToDate>false</LinksUpToDate>
  <CharactersWithSpaces>27474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2026-04-15T01:57:00Z</dcterms:created>
  <dc:creator>Data</dc:creator>
  <cp:lastModifiedBy>小牛同学</cp:lastModifiedBy>
  <dcterms:modified xsi:type="dcterms:W3CDTF">2026-09-15T06:45:31Z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2026-04-13T09:57:47Z</vt:filetime>
  </property>
  <property fmtid="{D5CDD505-2E9C-101B-9397-08002B2CF9AE}" pid="4" name="UsrData">
    <vt:lpwstr>69dc4d945b4fbf001f3979d8wl</vt:lpwstr>
  </property>
  <property fmtid="{D5CDD505-2E9C-101B-9397-08002B2CF9AE}" pid="5" name="KSOProductBuildVer">
    <vt:lpwstr>2052-12.1.0.28505</vt:lpwstr>
  </property>
  <property fmtid="{D5CDD505-2E9C-101B-9397-08002B2CF9AE}" pid="6" name="ICV">
    <vt:lpwstr>7123DB97B2234AA2AB758F9E23DC55F9_13</vt:lpwstr>
  </property>
</Properties>
</file>