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8A5146">
      <w:pPr>
        <w:jc w:val="center"/>
        <w:rPr>
          <w:rFonts w:ascii="微软雅黑" w:hAnsi="微软雅黑" w:eastAsia="微软雅黑" w:cs="微软雅黑"/>
          <w:bCs/>
          <w:color w:val="000000"/>
          <w:kern w:val="0"/>
          <w:sz w:val="44"/>
          <w:szCs w:val="44"/>
        </w:rPr>
      </w:pPr>
      <w:bookmarkStart w:id="3" w:name="_GoBack"/>
      <w:bookmarkEnd w:id="3"/>
    </w:p>
    <w:p w14:paraId="1DD61F10">
      <w:pPr>
        <w:jc w:val="center"/>
        <w:rPr>
          <w:rFonts w:eastAsia="微软雅黑"/>
          <w:b/>
          <w:bCs/>
          <w:sz w:val="40"/>
          <w:szCs w:val="40"/>
        </w:rPr>
      </w:pPr>
      <w:r>
        <w:rPr>
          <w:rFonts w:hint="eastAsia" w:eastAsia="微软雅黑"/>
          <w:b/>
          <w:bCs/>
          <w:sz w:val="40"/>
          <w:szCs w:val="40"/>
        </w:rPr>
        <w:t>GDB11 Контроллер газовой сигнализации горючих газов</w:t>
      </w:r>
    </w:p>
    <w:p w14:paraId="66C76320">
      <w:pPr>
        <w:jc w:val="center"/>
        <w:rPr>
          <w:rFonts w:eastAsia="微软雅黑"/>
          <w:b/>
          <w:bCs/>
          <w:sz w:val="40"/>
          <w:szCs w:val="40"/>
        </w:rPr>
      </w:pPr>
      <w:r>
        <w:rPr>
          <w:rFonts w:hint="eastAsia" w:eastAsia="微软雅黑"/>
          <w:b/>
          <w:bCs/>
          <w:sz w:val="40"/>
          <w:szCs w:val="40"/>
        </w:rPr>
        <w:t>Руководство по эксплуатации</w:t>
      </w:r>
    </w:p>
    <w:p w14:paraId="6CA77A07">
      <w:pPr>
        <w:autoSpaceDE w:val="0"/>
        <w:autoSpaceDN w:val="0"/>
        <w:adjustRightInd w:val="0"/>
        <w:ind w:right="778" w:firstLine="640" w:firstLineChars="200"/>
        <w:jc w:val="center"/>
        <w:rPr>
          <w:rFonts w:ascii="微软雅黑" w:hAnsi="微软雅黑" w:eastAsia="微软雅黑" w:cs="微软雅黑"/>
          <w:bCs/>
          <w:color w:val="000000"/>
          <w:kern w:val="0"/>
          <w:sz w:val="32"/>
          <w:szCs w:val="32"/>
        </w:rPr>
      </w:pPr>
    </w:p>
    <w:p w14:paraId="2C3F3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right="0"/>
        <w:jc w:val="center"/>
        <w:textAlignment w:val="auto"/>
        <w:rPr>
          <w:rFonts w:ascii="微软雅黑" w:hAnsi="微软雅黑" w:eastAsia="微软雅黑" w:cs="微软雅黑"/>
          <w:b/>
          <w:color w:val="000000"/>
          <w:kern w:val="0"/>
          <w:sz w:val="32"/>
          <w:szCs w:val="32"/>
        </w:rPr>
      </w:pPr>
      <w:r>
        <w:drawing>
          <wp:inline distT="0" distB="0" distL="114300" distR="114300">
            <wp:extent cx="1933575" cy="2905125"/>
            <wp:effectExtent l="0" t="0" r="9525" b="952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0892C">
      <w:pPr>
        <w:jc w:val="center"/>
        <w:rPr>
          <w:rFonts w:eastAsia="微软雅黑"/>
          <w:b/>
          <w:bCs/>
          <w:sz w:val="28"/>
          <w:szCs w:val="28"/>
        </w:rPr>
      </w:pPr>
      <w:r>
        <w:rPr>
          <w:rFonts w:hint="eastAsia" w:eastAsia="微软雅黑"/>
          <w:b/>
          <w:bCs/>
          <w:sz w:val="28"/>
          <w:szCs w:val="28"/>
        </w:rPr>
        <w:t>Henan OtywellElectronic Technology Co., Ltd.</w:t>
      </w:r>
    </w:p>
    <w:p w14:paraId="5AD1F126">
      <w:pPr>
        <w:spacing w:line="240" w:lineRule="atLeast"/>
        <w:rPr>
          <w:rFonts w:ascii="微软雅黑" w:hAnsi="微软雅黑" w:eastAsia="微软雅黑" w:cs="微软雅黑"/>
          <w:color w:val="000000"/>
          <w:szCs w:val="21"/>
        </w:rPr>
      </w:pPr>
    </w:p>
    <w:p w14:paraId="3434C244">
      <w:pPr>
        <w:spacing w:line="360" w:lineRule="exact"/>
        <w:ind w:firstLine="480"/>
      </w:pPr>
      <w:r>
        <w:rPr>
          <w:rFonts w:hint="eastAsia"/>
        </w:rPr>
        <w:t>Благодарим за использование продукции нашей компании Henan OtywellElectronic Technology Co., Ltd. Перед началом использования данного изделия обязательно внимательно прочитайте настоящие указания и соблюдайте приведённые соответствующие этапы эксплуатации, чтобы в полной мере воспользоваться услугами, предоставляемыми нашей компанией, и при этом избежать неправильных действий, повреждения прибора или иных происшествий.</w:t>
      </w:r>
    </w:p>
    <w:p w14:paraId="08F6AC4B">
      <w:pPr>
        <w:spacing w:line="360" w:lineRule="exact"/>
        <w:ind w:firstLine="480"/>
      </w:pPr>
      <w:r>
        <w:rPr>
          <w:rFonts w:hint="eastAsia"/>
        </w:rPr>
        <w:t>Храните данное руководство в надёжном месте, чтобы в будущем при необходимости вы могли своевременно обратиться к нему и получить помощь.</w:t>
      </w:r>
    </w:p>
    <w:p w14:paraId="4882924D">
      <w:pPr>
        <w:spacing w:line="360" w:lineRule="exact"/>
        <w:ind w:firstLine="480"/>
      </w:pPr>
      <w:r>
        <w:rPr>
          <w:rFonts w:hint="eastAsia"/>
          <w:b/>
          <w:bCs/>
        </w:rPr>
        <w:t>Уведомление об авторских правах</w:t>
      </w:r>
    </w:p>
    <w:p w14:paraId="6121EB77">
      <w:pPr>
        <w:spacing w:line="360" w:lineRule="exact"/>
        <w:ind w:firstLine="480"/>
      </w:pPr>
      <w:r>
        <w:rPr>
          <w:rFonts w:hint="eastAsia"/>
        </w:rPr>
        <w:t>Авторские права на данное руководство принадлежат Henan Otywell Electronic Technology Co., LTD. Без письменного разрешения любая часть данного руководства не может быть скопирована, переведена, сохранена в базе данных или поисковой системе, а также передана любыми способами и средствами, такими как электронная передача, воспроизведение, запись и т. п.</w:t>
      </w:r>
    </w:p>
    <w:p w14:paraId="491A2697">
      <w:pPr>
        <w:spacing w:line="360" w:lineRule="exact"/>
        <w:ind w:firstLine="480"/>
      </w:pPr>
      <w:r>
        <w:rPr>
          <w:rFonts w:hint="eastAsia"/>
        </w:rPr>
        <w:t>Henan Otywell Electronic Technology Co., Ltd., придерживаясь принципа научно-технического прогресса, постоянно работает над улучшением продукции и повышением её характеристик; компания оставляет за собой право на любые улучшения продукции без предварительного уведомления.</w:t>
      </w:r>
    </w:p>
    <w:p w14:paraId="440B65E6">
      <w:pPr>
        <w:spacing w:line="360" w:lineRule="exact"/>
        <w:ind w:firstLine="480"/>
      </w:pPr>
      <w:r>
        <w:rPr>
          <w:rFonts w:hint="eastAsia"/>
        </w:rPr>
        <w:t>Если пользователь выполняет монтаж, ремонт или замену деталей, не следуя указаниям данного руководства, ответственность за возникший ущерб несёт пользователь.</w:t>
      </w:r>
    </w:p>
    <w:p w14:paraId="633B449A">
      <w:pPr>
        <w:spacing w:line="360" w:lineRule="exact"/>
        <w:ind w:firstLine="480"/>
      </w:pPr>
      <w:r>
        <w:rPr>
          <w:rFonts w:hint="eastAsia"/>
        </w:rPr>
        <w:t>Изделие, его цвет и оформление определяются фактически приобретённым изделием.</w:t>
      </w:r>
    </w:p>
    <w:p w14:paraId="56814D33">
      <w:pPr>
        <w:spacing w:line="360" w:lineRule="exact"/>
        <w:ind w:firstLine="480"/>
      </w:pPr>
      <w:r>
        <w:rPr>
          <w:rFonts w:hint="eastAsia"/>
          <w:b/>
          <w:bCs/>
        </w:rPr>
        <w:t>Руководство по обслуживанию пользователя</w:t>
      </w:r>
    </w:p>
    <w:p w14:paraId="0459C23F">
      <w:pPr>
        <w:spacing w:line="360" w:lineRule="exact"/>
        <w:jc w:val="left"/>
      </w:pPr>
      <w:r>
        <w:rPr>
          <w:rFonts w:hint="eastAsia"/>
        </w:rPr>
        <w:t>1. Перед использованием данного изделия внимательно проверьте комплектность аксессуаров, сертификат изделия и гарантийный талон согласно заводскому перечню комплектации. При обнаружении некомплектности немедленно свяжитесь с продавцом или производителем.</w:t>
      </w:r>
    </w:p>
    <w:p w14:paraId="265BCB00">
      <w:pPr>
        <w:spacing w:line="360" w:lineRule="exact"/>
        <w:jc w:val="left"/>
      </w:pPr>
      <w:r>
        <w:rPr>
          <w:rFonts w:hint="eastAsia"/>
        </w:rPr>
        <w:t>2. В течение 12 месяцев с даты продажи данного изделия при соблюдении пользователем требований к хранению, транспортировке и эксплуатации и при снижении качества изделия ниже технических показателей при предъявлении гарантийного талона предоставляется бесплатное обслуживание.</w:t>
      </w:r>
    </w:p>
    <w:p w14:paraId="129F7858">
      <w:pPr>
        <w:spacing w:line="360" w:lineRule="exact"/>
        <w:jc w:val="left"/>
      </w:pPr>
      <w:r>
        <w:rPr>
          <w:rFonts w:hint="eastAsia"/>
        </w:rPr>
        <w:t>3. При повреждениях, вызванных нарушением правил и требований эксплуатации, при неисправностях, возникших из-за обслуживания не в специальной технической службе нашей компании, или при проблемах качества изделия, вызванных непреодолимыми факторами, наша компания выполняет платное обслуживание.</w:t>
      </w:r>
    </w:p>
    <w:p w14:paraId="63EC2598">
      <w:pPr>
        <w:spacing w:line="360" w:lineRule="exact"/>
        <w:jc w:val="left"/>
      </w:pPr>
      <w:r>
        <w:rPr>
          <w:rFonts w:hint="eastAsia"/>
        </w:rPr>
        <w:t>4. При ремонте изделия предъявите гарантийный талон изделия. При непредъявлении гарантийного талона обслуживание выполняется платно.</w:t>
      </w:r>
    </w:p>
    <w:p w14:paraId="02BBB69A">
      <w:pPr>
        <w:spacing w:line="360" w:lineRule="exact"/>
        <w:jc w:val="left"/>
      </w:pPr>
      <w:r>
        <w:rPr>
          <w:rFonts w:hint="eastAsia"/>
        </w:rPr>
        <w:t>5. После технического обслуживания и ремонта изделия предъявите данное руководство. Специалист по обслуживанию заполнит и подпишет прилагаемую форму "Протокол технического обслуживания и ремонта"; при этом также подпишите запись специалиста по обслуживанию, чтобы подтвердить содержание технического обслуживания и ремонта и внести ценные предложения. Организациям-пользователям необходимо поставить официальную печать.</w:t>
      </w:r>
    </w:p>
    <w:p w14:paraId="6FCFBD3F">
      <w:pPr>
        <w:spacing w:line="360" w:lineRule="exact"/>
        <w:jc w:val="left"/>
      </w:pPr>
      <w:r>
        <w:rPr>
          <w:rFonts w:hint="eastAsia"/>
        </w:rPr>
        <w:t>6. При наличии любых вопросов или недовольства предоставляемыми нами изделиями и услугами, включая технологию изделия, качество, монтаж и обслуживание, отношение персонала, тарифы и т. д., своевременно свяжитесь с нами; мы надлежащим образом рассмотрим ваши замечания.</w:t>
      </w:r>
    </w:p>
    <w:p w14:paraId="2B60F3C8">
      <w:pPr>
        <w:spacing w:line="360" w:lineRule="exact"/>
        <w:jc w:val="left"/>
      </w:pPr>
    </w:p>
    <w:p w14:paraId="5C088024">
      <w:pPr>
        <w:spacing w:line="360" w:lineRule="exact"/>
        <w:ind w:firstLine="480"/>
        <w:rPr>
          <w:rFonts w:eastAsia="楷体"/>
        </w:rPr>
      </w:pPr>
      <w:r>
        <w:rPr>
          <w:rFonts w:hint="eastAsia" w:eastAsia="楷体"/>
        </w:rPr>
        <w:t>Наименование компании: Henan Otywell Electronic Technology Co., LTD</w:t>
      </w:r>
    </w:p>
    <w:p w14:paraId="277A0AC1">
      <w:pPr>
        <w:spacing w:line="360" w:lineRule="exact"/>
        <w:ind w:firstLine="480"/>
        <w:rPr>
          <w:rFonts w:eastAsia="楷体"/>
        </w:rPr>
      </w:pPr>
      <w:r>
        <w:rPr>
          <w:rFonts w:hint="eastAsia" w:eastAsia="楷体"/>
        </w:rPr>
        <w:t>Адрес: корпус 2, здание 38, Liandong U Valley, на пересечении улицы Jianyang и улицы Lianhua, зона высоких технологий, город Чжэнчжоу, провинция Хэнань</w:t>
      </w:r>
    </w:p>
    <w:p w14:paraId="04E9F735">
      <w:pPr>
        <w:spacing w:line="360" w:lineRule="exact"/>
        <w:ind w:firstLine="480"/>
        <w:rPr>
          <w:rFonts w:eastAsia="楷体"/>
        </w:rPr>
      </w:pPr>
      <w:r>
        <w:rPr>
          <w:rFonts w:hint="eastAsia" w:eastAsia="楷体"/>
        </w:rPr>
        <w:t>Тел.: 0371-86189170</w:t>
      </w:r>
    </w:p>
    <w:p w14:paraId="61F24FBB">
      <w:pPr>
        <w:spacing w:line="360" w:lineRule="exact"/>
        <w:ind w:firstLine="480"/>
      </w:pPr>
      <w:r>
        <w:rPr>
          <w:rFonts w:hint="eastAsia" w:eastAsia="楷体"/>
        </w:rPr>
        <w:t>Факс: 0371-86628819</w:t>
      </w:r>
    </w:p>
    <w:p w14:paraId="1A8AD921">
      <w:pPr>
        <w:spacing w:line="360" w:lineRule="exact"/>
        <w:jc w:val="left"/>
      </w:pPr>
      <w:r>
        <w:rPr>
          <w:rFonts w:hint="eastAsia"/>
        </w:rPr>
        <w:t>Заявление:</w:t>
      </w:r>
    </w:p>
    <w:p w14:paraId="1783E435">
      <w:pPr>
        <w:spacing w:line="360" w:lineRule="exact"/>
        <w:jc w:val="left"/>
      </w:pPr>
      <w:r>
        <w:rPr>
          <w:rFonts w:hint="eastAsia"/>
        </w:rPr>
        <w:t>Контроллер газовой сигнализации горючих газов в данном руководстве именуется: контроллер</w:t>
      </w:r>
    </w:p>
    <w:p w14:paraId="642C9E40">
      <w:pPr>
        <w:spacing w:line="240" w:lineRule="atLeast"/>
        <w:rPr>
          <w:rFonts w:ascii="微软雅黑" w:hAnsi="微软雅黑" w:eastAsia="微软雅黑" w:cs="微软雅黑"/>
          <w:szCs w:val="21"/>
        </w:rPr>
      </w:pPr>
    </w:p>
    <w:p w14:paraId="12702748">
      <w:pPr>
        <w:spacing w:line="240" w:lineRule="atLeast"/>
        <w:rPr>
          <w:rFonts w:ascii="微软雅黑" w:hAnsi="微软雅黑" w:eastAsia="微软雅黑" w:cs="微软雅黑"/>
          <w:szCs w:val="21"/>
        </w:rPr>
      </w:pPr>
    </w:p>
    <w:p w14:paraId="3B6A043E">
      <w:pPr>
        <w:spacing w:line="240" w:lineRule="atLeast"/>
        <w:rPr>
          <w:rFonts w:ascii="微软雅黑" w:hAnsi="微软雅黑" w:eastAsia="微软雅黑" w:cs="微软雅黑"/>
          <w:szCs w:val="21"/>
        </w:rPr>
      </w:pPr>
    </w:p>
    <w:p w14:paraId="01C55117">
      <w:pPr>
        <w:rPr>
          <w:rFonts w:ascii="宋体" w:hAnsi="宋体"/>
        </w:rPr>
      </w:pPr>
    </w:p>
    <w:p w14:paraId="65D36A79">
      <w:pPr>
        <w:jc w:val="center"/>
        <w:rPr>
          <w:rFonts w:ascii="宋体" w:hAnsi="宋体"/>
        </w:rPr>
      </w:pPr>
    </w:p>
    <w:p w14:paraId="41A0C741">
      <w:pPr>
        <w:jc w:val="center"/>
        <w:rPr>
          <w:rFonts w:ascii="宋体" w:hAnsi="宋体"/>
        </w:rPr>
      </w:pPr>
    </w:p>
    <w:p w14:paraId="35FA2CBA">
      <w:pPr>
        <w:jc w:val="center"/>
        <w:rPr>
          <w:rFonts w:ascii="宋体" w:hAnsi="宋体"/>
        </w:rPr>
      </w:pPr>
    </w:p>
    <w:p w14:paraId="7D3E9B0D">
      <w:pPr>
        <w:jc w:val="center"/>
        <w:rPr>
          <w:rFonts w:ascii="宋体" w:hAnsi="宋体"/>
        </w:rPr>
      </w:pPr>
    </w:p>
    <w:p w14:paraId="3E6550DA">
      <w:pPr>
        <w:jc w:val="center"/>
        <w:rPr>
          <w:rFonts w:ascii="宋体" w:hAnsi="宋体"/>
        </w:rPr>
      </w:pPr>
    </w:p>
    <w:p w14:paraId="7194519C">
      <w:pPr>
        <w:jc w:val="center"/>
        <w:rPr>
          <w:rFonts w:ascii="宋体" w:hAnsi="宋体"/>
        </w:rPr>
      </w:pPr>
    </w:p>
    <w:p w14:paraId="4453951D">
      <w:pPr>
        <w:jc w:val="center"/>
        <w:rPr>
          <w:rFonts w:ascii="宋体" w:hAnsi="宋体"/>
        </w:rPr>
      </w:pPr>
    </w:p>
    <w:p w14:paraId="76084A71">
      <w:pPr>
        <w:jc w:val="center"/>
        <w:rPr>
          <w:rFonts w:ascii="宋体" w:hAnsi="宋体"/>
        </w:rPr>
      </w:pPr>
    </w:p>
    <w:p w14:paraId="34E8390C">
      <w:pPr>
        <w:jc w:val="center"/>
        <w:rPr>
          <w:rFonts w:ascii="宋体" w:hAnsi="宋体"/>
        </w:rPr>
      </w:pPr>
    </w:p>
    <w:p w14:paraId="0138FCFF">
      <w:pPr>
        <w:jc w:val="center"/>
        <w:rPr>
          <w:rFonts w:ascii="宋体" w:hAnsi="宋体"/>
        </w:rPr>
      </w:pPr>
    </w:p>
    <w:p w14:paraId="36213090">
      <w:pPr>
        <w:jc w:val="center"/>
        <w:rPr>
          <w:rFonts w:ascii="宋体" w:hAnsi="宋体"/>
        </w:rPr>
      </w:pPr>
    </w:p>
    <w:p w14:paraId="0B5E615F">
      <w:pPr>
        <w:jc w:val="center"/>
        <w:rPr>
          <w:rFonts w:ascii="宋体" w:hAnsi="宋体"/>
        </w:rPr>
      </w:pPr>
    </w:p>
    <w:p w14:paraId="56B96B8B">
      <w:pPr>
        <w:jc w:val="center"/>
        <w:rPr>
          <w:rFonts w:ascii="宋体" w:hAnsi="宋体"/>
        </w:rPr>
      </w:pPr>
    </w:p>
    <w:p w14:paraId="1F16E84F">
      <w:pPr>
        <w:jc w:val="center"/>
        <w:rPr>
          <w:rFonts w:ascii="宋体" w:hAnsi="宋体"/>
        </w:rPr>
      </w:pPr>
    </w:p>
    <w:p w14:paraId="54BDEC7C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Содержание</w:t>
      </w:r>
    </w:p>
    <w:p w14:paraId="7AFD8D2A">
      <w:pPr>
        <w:pStyle w:val="26"/>
        <w:tabs>
          <w:tab w:val="right" w:leader="dot" w:pos="6151"/>
        </w:tabs>
      </w:pPr>
      <w:r>
        <w:rPr>
          <w:rFonts w:hint="eastAsia" w:ascii="微软雅黑" w:hAnsi="微软雅黑" w:eastAsia="微软雅黑" w:cs="微软雅黑"/>
          <w:szCs w:val="21"/>
        </w:rPr>
        <w:fldChar w:fldCharType="begin"/>
      </w:r>
      <w:r>
        <w:rPr>
          <w:rFonts w:hint="eastAsia" w:ascii="微软雅黑" w:hAnsi="微软雅黑" w:eastAsia="微软雅黑" w:cs="微软雅黑"/>
          <w:szCs w:val="21"/>
        </w:rPr>
        <w:instrText xml:space="preserve">TOC \o "1-1" \h \u </w:instrText>
      </w:r>
      <w:r>
        <w:rPr>
          <w:rFonts w:hint="eastAsia" w:ascii="微软雅黑" w:hAnsi="微软雅黑" w:eastAsia="微软雅黑" w:cs="微软雅黑"/>
          <w:szCs w:val="21"/>
        </w:rPr>
        <w:fldChar w:fldCharType="separate"/>
      </w:r>
    </w:p>
    <w:p w14:paraId="1827F8B8">
      <w:pPr>
        <w:pStyle w:val="26"/>
        <w:tabs>
          <w:tab w:val="right" w:leader="dot" w:pos="6151"/>
        </w:tabs>
      </w:pPr>
      <w:r>
        <w:fldChar w:fldCharType="begin"/>
      </w:r>
      <w:r>
        <w:instrText xml:space="preserve"> HYPERLINK \l "_Toc9766" </w:instrText>
      </w:r>
      <w:r>
        <w:fldChar w:fldCharType="separate"/>
      </w:r>
      <w:r>
        <w:rPr>
          <w:rFonts w:hint="eastAsia" w:ascii="微软雅黑" w:hAnsi="微软雅黑" w:eastAsia="微软雅黑" w:cs="微软雅黑"/>
          <w:bCs/>
          <w:kern w:val="2"/>
        </w:rPr>
        <w:t>1. Обзор изделия 1</w:t>
      </w:r>
      <w:r>
        <w:rPr>
          <w:rFonts w:hint="eastAsia"/>
          <w:kern w:val="2"/>
          <w:sz w:val="28"/>
          <w:szCs w:val="28"/>
        </w:rPr>
        <w:t/>
      </w:r>
      <w:r>
        <w:tab/>
      </w:r>
      <w:r>
        <w:fldChar w:fldCharType="begin"/>
      </w:r>
      <w:r>
        <w:instrText xml:space="preserve"> PAGEREF _Toc9766 \h </w:instrText>
      </w:r>
      <w:r>
        <w:fldChar w:fldCharType="separate"/>
      </w:r>
      <w:r>
        <w:t/>
      </w:r>
      <w:r>
        <w:fldChar w:fldCharType="end"/>
      </w:r>
      <w:r>
        <w:fldChar w:fldCharType="end"/>
      </w:r>
    </w:p>
    <w:p w14:paraId="2F96C26A">
      <w:pPr>
        <w:pStyle w:val="26"/>
        <w:tabs>
          <w:tab w:val="right" w:leader="dot" w:pos="6151"/>
        </w:tabs>
      </w:pPr>
      <w:r>
        <w:fldChar w:fldCharType="begin"/>
      </w:r>
      <w:r>
        <w:instrText xml:space="preserve"> HYPERLINK \l "_Toc13874" </w:instrText>
      </w:r>
      <w:r>
        <w:fldChar w:fldCharType="separate"/>
      </w:r>
      <w:r>
        <w:rPr>
          <w:rFonts w:hint="eastAsia" w:ascii="微软雅黑" w:hAnsi="微软雅黑" w:eastAsia="微软雅黑" w:cs="微软雅黑"/>
          <w:bCs/>
          <w:szCs w:val="18"/>
        </w:rPr>
        <w:t xml:space="preserve">2. Основные технические характеристики 2</w:t>
      </w:r>
      <w:r>
        <w:rPr>
          <w:rFonts w:hint="eastAsia"/>
          <w:kern w:val="2"/>
          <w:sz w:val="28"/>
          <w:szCs w:val="28"/>
        </w:rPr>
        <w:t/>
      </w:r>
      <w:r>
        <w:tab/>
      </w:r>
      <w:r>
        <w:fldChar w:fldCharType="begin"/>
      </w:r>
      <w:r>
        <w:instrText xml:space="preserve"> PAGEREF _Toc13874 \h </w:instrText>
      </w:r>
      <w:r>
        <w:fldChar w:fldCharType="separate"/>
      </w:r>
      <w:r>
        <w:t/>
      </w:r>
      <w:r>
        <w:fldChar w:fldCharType="end"/>
      </w:r>
      <w:r>
        <w:fldChar w:fldCharType="end"/>
      </w:r>
    </w:p>
    <w:p w14:paraId="059E2A29">
      <w:pPr>
        <w:pStyle w:val="26"/>
        <w:tabs>
          <w:tab w:val="right" w:leader="dot" w:pos="6151"/>
        </w:tabs>
      </w:pPr>
      <w:r>
        <w:fldChar w:fldCharType="begin"/>
      </w:r>
      <w:r>
        <w:instrText xml:space="preserve"> HYPERLINK \l "_Toc13361" </w:instrText>
      </w:r>
      <w:r>
        <w:fldChar w:fldCharType="separate"/>
      </w:r>
      <w:r>
        <w:rPr>
          <w:rFonts w:hint="eastAsia" w:ascii="微软雅黑" w:hAnsi="微软雅黑" w:eastAsia="微软雅黑" w:cs="微软雅黑"/>
          <w:szCs w:val="21"/>
        </w:rPr>
        <w:t>3. Инструкция по работе с системными функциями 2</w:t>
      </w:r>
      <w:r>
        <w:rPr>
          <w:rFonts w:hint="eastAsia"/>
          <w:kern w:val="2"/>
          <w:sz w:val="28"/>
          <w:szCs w:val="28"/>
        </w:rPr>
        <w:t/>
      </w:r>
      <w:r>
        <w:rPr>
          <w:rFonts w:hint="eastAsia" w:ascii="微软雅黑" w:hAnsi="微软雅黑" w:eastAsia="微软雅黑" w:cs="微软雅黑"/>
          <w:szCs w:val="21"/>
        </w:rPr>
        <w:t/>
      </w:r>
      <w:r>
        <w:tab/>
      </w:r>
      <w:r>
        <w:rPr>
          <w:rFonts w:hint="eastAsia"/>
        </w:rPr>
        <w:t/>
      </w:r>
      <w:r>
        <w:rPr>
          <w:rFonts w:hint="eastAsia"/>
        </w:rPr>
        <w:fldChar w:fldCharType="end"/>
      </w:r>
    </w:p>
    <w:p w14:paraId="77D0C4F1">
      <w:pPr>
        <w:pStyle w:val="26"/>
        <w:tabs>
          <w:tab w:val="right" w:leader="dot" w:pos="6151"/>
        </w:tabs>
      </w:pPr>
      <w:r>
        <w:fldChar w:fldCharType="begin"/>
      </w:r>
      <w:r>
        <w:instrText xml:space="preserve"> HYPERLINK \l "_Toc174" </w:instrText>
      </w:r>
      <w:r>
        <w:fldChar w:fldCharType="separate"/>
      </w:r>
      <w:r>
        <w:rPr>
          <w:rFonts w:hint="eastAsia" w:ascii="微软雅黑" w:hAnsi="微软雅黑" w:eastAsia="微软雅黑" w:cs="微软雅黑"/>
          <w:szCs w:val="18"/>
        </w:rPr>
        <w:t xml:space="preserve">4. Функции меню 4</w:t>
      </w:r>
      <w:r>
        <w:rPr>
          <w:rFonts w:hint="eastAsia"/>
          <w:kern w:val="2"/>
          <w:sz w:val="28"/>
          <w:szCs w:val="28"/>
        </w:rPr>
        <w:t/>
      </w:r>
      <w:r>
        <w:rPr>
          <w:rFonts w:hint="eastAsia" w:ascii="微软雅黑" w:hAnsi="微软雅黑" w:eastAsia="微软雅黑" w:cs="微软雅黑"/>
          <w:szCs w:val="18"/>
        </w:rPr>
        <w:t/>
      </w:r>
      <w:r>
        <w:tab/>
      </w:r>
      <w:r>
        <w:fldChar w:fldCharType="begin"/>
      </w:r>
      <w:r>
        <w:instrText xml:space="preserve"> PAGEREF _Toc174 \h </w:instrText>
      </w:r>
      <w:r>
        <w:fldChar w:fldCharType="separate"/>
      </w:r>
      <w:r>
        <w:t/>
      </w:r>
      <w:r>
        <w:fldChar w:fldCharType="end"/>
      </w:r>
      <w:r>
        <w:fldChar w:fldCharType="end"/>
      </w:r>
    </w:p>
    <w:p w14:paraId="15881F76">
      <w:pPr>
        <w:pStyle w:val="26"/>
        <w:tabs>
          <w:tab w:val="right" w:leader="dot" w:pos="6151"/>
        </w:tabs>
        <w:rPr>
          <w:rFonts w:eastAsia="微软雅黑"/>
        </w:rPr>
      </w:pPr>
      <w:r>
        <w:fldChar w:fldCharType="begin"/>
      </w:r>
      <w:r>
        <w:instrText xml:space="preserve"> HYPERLINK \l "_Toc6033" </w:instrText>
      </w:r>
      <w:r>
        <w:fldChar w:fldCharType="separate"/>
      </w:r>
      <w:r>
        <w:rPr>
          <w:rFonts w:hint="eastAsia" w:ascii="微软雅黑" w:hAnsi="微软雅黑" w:eastAsia="微软雅黑" w:cs="微软雅黑"/>
          <w:szCs w:val="24"/>
        </w:rPr>
        <w:t>5. Меры предосторожности при монтаже 9</w:t>
      </w:r>
      <w:r>
        <w:rPr>
          <w:rFonts w:hint="eastAsia"/>
          <w:kern w:val="2"/>
          <w:sz w:val="28"/>
          <w:szCs w:val="28"/>
        </w:rPr>
        <w:t/>
      </w:r>
      <w:r>
        <w:tab/>
      </w:r>
      <w:r>
        <w:rPr>
          <w:rFonts w:hint="eastAsia"/>
        </w:rPr>
        <w:t/>
      </w:r>
      <w:r>
        <w:rPr>
          <w:rFonts w:hint="eastAsia"/>
        </w:rPr>
        <w:fldChar w:fldCharType="end"/>
      </w:r>
    </w:p>
    <w:p w14:paraId="77F59230">
      <w:pPr>
        <w:pStyle w:val="26"/>
        <w:tabs>
          <w:tab w:val="right" w:leader="dot" w:pos="6151"/>
        </w:tabs>
        <w:rPr>
          <w:rFonts w:eastAsia="微软雅黑"/>
        </w:rPr>
      </w:pPr>
      <w:r>
        <w:fldChar w:fldCharType="begin"/>
      </w:r>
      <w:r>
        <w:instrText xml:space="preserve"> HYPERLINK \l "_Toc30835" </w:instrText>
      </w:r>
      <w:r>
        <w:fldChar w:fldCharType="separate"/>
      </w:r>
      <w:r>
        <w:rPr>
          <w:rFonts w:hint="eastAsia" w:ascii="微软雅黑" w:hAnsi="微软雅黑" w:eastAsia="微软雅黑" w:cs="微软雅黑"/>
          <w:szCs w:val="24"/>
        </w:rPr>
        <w:t>6. Типичные неисправности и способы их устранения 10</w:t>
      </w:r>
      <w:r>
        <w:rPr>
          <w:rFonts w:hint="eastAsia"/>
          <w:kern w:val="2"/>
          <w:sz w:val="28"/>
          <w:szCs w:val="28"/>
        </w:rPr>
        <w:t/>
      </w:r>
      <w:r>
        <w:tab/>
      </w:r>
      <w:r>
        <w:rPr>
          <w:rFonts w:hint="eastAsia"/>
        </w:rPr>
        <w:t/>
      </w:r>
      <w:r>
        <w:rPr>
          <w:rFonts w:hint="eastAsia"/>
        </w:rPr>
        <w:fldChar w:fldCharType="end"/>
      </w:r>
      <w:r>
        <w:rPr>
          <w:rFonts w:hint="eastAsia" w:ascii="微软雅黑" w:hAnsi="微软雅黑" w:eastAsia="微软雅黑" w:cs="微软雅黑"/>
          <w:szCs w:val="21"/>
        </w:rPr>
        <w:t/>
      </w:r>
    </w:p>
    <w:p w14:paraId="54B939B9">
      <w:pPr>
        <w:pStyle w:val="26"/>
        <w:tabs>
          <w:tab w:val="right" w:leader="dot" w:pos="6151"/>
        </w:tabs>
        <w:rPr>
          <w:rFonts w:eastAsia="微软雅黑"/>
        </w:rPr>
      </w:pPr>
      <w:r>
        <w:fldChar w:fldCharType="begin"/>
      </w:r>
      <w:r>
        <w:instrText xml:space="preserve"> HYPERLINK \l "_Toc23451" </w:instrText>
      </w:r>
      <w:r>
        <w:fldChar w:fldCharType="separate"/>
      </w:r>
      <w:r>
        <w:rPr>
          <w:rFonts w:hint="eastAsia" w:ascii="微软雅黑" w:hAnsi="微软雅黑" w:eastAsia="微软雅黑" w:cs="微软雅黑"/>
          <w:szCs w:val="24"/>
        </w:rPr>
        <w:t>7. Гарантия и техническое обслуживание 10</w:t>
      </w:r>
      <w:r>
        <w:rPr>
          <w:rFonts w:hint="eastAsia"/>
          <w:kern w:val="2"/>
          <w:sz w:val="28"/>
          <w:szCs w:val="28"/>
        </w:rPr>
        <w:t/>
      </w:r>
      <w:r>
        <w:tab/>
      </w:r>
      <w:r>
        <w:rPr>
          <w:rFonts w:hint="eastAsia"/>
        </w:rPr>
        <w:t/>
      </w:r>
      <w:r>
        <w:rPr>
          <w:rFonts w:hint="eastAsia"/>
        </w:rPr>
        <w:fldChar w:fldCharType="end"/>
      </w:r>
      <w:r>
        <w:rPr>
          <w:rFonts w:hint="eastAsia" w:ascii="微软雅黑" w:hAnsi="微软雅黑" w:eastAsia="微软雅黑" w:cs="微软雅黑"/>
          <w:szCs w:val="21"/>
        </w:rPr>
        <w:t/>
      </w:r>
    </w:p>
    <w:p w14:paraId="5BD09B80">
      <w:pPr>
        <w:pStyle w:val="26"/>
        <w:tabs>
          <w:tab w:val="right" w:leader="dot" w:pos="6151"/>
        </w:tabs>
        <w:rPr>
          <w:rFonts w:eastAsia="微软雅黑"/>
        </w:rPr>
      </w:pPr>
      <w:r>
        <w:fldChar w:fldCharType="begin"/>
      </w:r>
      <w:r>
        <w:instrText xml:space="preserve"> HYPERLINK \l "_Toc32101" </w:instrText>
      </w:r>
      <w:r>
        <w:fldChar w:fldCharType="separate"/>
      </w:r>
      <w:r>
        <w:rPr>
          <w:rFonts w:hint="eastAsia" w:ascii="微软雅黑" w:hAnsi="微软雅黑" w:eastAsia="微软雅黑" w:cs="微软雅黑"/>
          <w:szCs w:val="24"/>
        </w:rPr>
        <w:t>8. Хранение 11</w:t>
      </w:r>
      <w:r>
        <w:rPr>
          <w:rFonts w:hint="eastAsia"/>
          <w:kern w:val="2"/>
          <w:sz w:val="28"/>
          <w:szCs w:val="28"/>
        </w:rPr>
        <w:t/>
      </w:r>
      <w:r>
        <w:tab/>
      </w:r>
      <w:r>
        <w:rPr>
          <w:rFonts w:hint="eastAsia"/>
        </w:rPr>
        <w:t/>
      </w:r>
      <w:r>
        <w:rPr>
          <w:rFonts w:hint="eastAsia"/>
        </w:rPr>
        <w:fldChar w:fldCharType="end"/>
      </w:r>
      <w:r>
        <w:rPr>
          <w:rFonts w:hint="eastAsia" w:ascii="微软雅黑" w:hAnsi="微软雅黑" w:eastAsia="微软雅黑" w:cs="微软雅黑"/>
          <w:szCs w:val="21"/>
        </w:rPr>
        <w:t/>
      </w:r>
    </w:p>
    <w:p w14:paraId="603FB634">
      <w:pPr>
        <w:pStyle w:val="26"/>
        <w:tabs>
          <w:tab w:val="right" w:leader="dot" w:pos="6151"/>
        </w:tabs>
        <w:rPr>
          <w:rFonts w:eastAsia="微软雅黑"/>
        </w:rPr>
      </w:pPr>
      <w:r>
        <w:fldChar w:fldCharType="begin"/>
      </w:r>
      <w:r>
        <w:instrText xml:space="preserve"> HYPERLINK \l "_Toc24627" </w:instrText>
      </w:r>
      <w:r>
        <w:fldChar w:fldCharType="separate"/>
      </w:r>
      <w:r>
        <w:rPr>
          <w:rFonts w:hint="eastAsia" w:ascii="微软雅黑" w:hAnsi="微软雅黑" w:eastAsia="微软雅黑" w:cs="微软雅黑"/>
          <w:szCs w:val="24"/>
        </w:rPr>
        <w:t>9. Аксессуары и прочее 11</w:t>
      </w:r>
      <w:r>
        <w:rPr>
          <w:rFonts w:hint="eastAsia"/>
          <w:kern w:val="2"/>
          <w:sz w:val="28"/>
          <w:szCs w:val="28"/>
        </w:rPr>
        <w:t/>
      </w:r>
      <w:r>
        <w:tab/>
      </w:r>
      <w:r>
        <w:rPr>
          <w:rFonts w:hint="eastAsia"/>
        </w:rPr>
        <w:t/>
      </w:r>
      <w:r>
        <w:rPr>
          <w:rFonts w:hint="eastAsia"/>
        </w:rPr>
        <w:fldChar w:fldCharType="end"/>
      </w:r>
      <w:r>
        <w:rPr>
          <w:rFonts w:hint="eastAsia" w:ascii="微软雅黑" w:hAnsi="微软雅黑" w:eastAsia="微软雅黑" w:cs="微软雅黑"/>
          <w:szCs w:val="21"/>
        </w:rPr>
        <w:t/>
      </w:r>
    </w:p>
    <w:p w14:paraId="14A5389D">
      <w:pPr>
        <w:pStyle w:val="26"/>
        <w:tabs>
          <w:tab w:val="right" w:leader="dot" w:pos="6151"/>
        </w:tabs>
        <w:rPr>
          <w:rFonts w:ascii="微软雅黑" w:hAnsi="微软雅黑" w:eastAsia="微软雅黑" w:cs="微软雅黑"/>
          <w:szCs w:val="21"/>
        </w:rPr>
        <w:sectPr>
          <w:headerReference r:id="rId3" w:type="default"/>
          <w:footerReference r:id="rId4" w:type="default"/>
          <w:pgSz w:w="8419" w:h="11906" w:orient="landscape"/>
          <w:pgMar w:top="1134" w:right="1134" w:bottom="1134" w:left="1134" w:header="851" w:footer="1077" w:gutter="0"/>
          <w:cols w:space="720" w:num="1"/>
          <w:docGrid w:type="lines" w:linePitch="321" w:charSpace="0"/>
        </w:sectPr>
      </w:pPr>
      <w:r>
        <w:rPr>
          <w:rFonts w:hint="eastAsia" w:ascii="微软雅黑" w:hAnsi="微软雅黑" w:eastAsia="微软雅黑" w:cs="微软雅黑"/>
          <w:szCs w:val="21"/>
        </w:rPr>
        <w:fldChar w:fldCharType="end"/>
      </w:r>
    </w:p>
    <w:p w14:paraId="03B5A3F6">
      <w:pPr>
        <w:pStyle w:val="26"/>
        <w:tabs>
          <w:tab w:val="right" w:leader="dot" w:pos="6151"/>
        </w:tabs>
        <w:rPr>
          <w:rFonts w:ascii="微软雅黑" w:hAnsi="微软雅黑" w:eastAsia="微软雅黑" w:cs="微软雅黑"/>
          <w:sz w:val="18"/>
          <w:szCs w:val="18"/>
        </w:rPr>
      </w:pPr>
    </w:p>
    <w:p w14:paraId="7E692545">
      <w:pPr>
        <w:pStyle w:val="2"/>
        <w:numPr>
          <w:ilvl w:val="0"/>
          <w:numId w:val="1"/>
        </w:numPr>
        <w:spacing w:beforeLines="30" w:afterLines="30" w:line="288" w:lineRule="auto"/>
        <w:jc w:val="left"/>
        <w:rPr>
          <w:kern w:val="2"/>
          <w:sz w:val="28"/>
          <w:szCs w:val="28"/>
          <w:lang w:val="zh-CN"/>
        </w:rPr>
      </w:pPr>
      <w:r>
        <w:rPr>
          <w:rFonts w:hint="eastAsia"/>
          <w:kern w:val="2"/>
          <w:sz w:val="28"/>
          <w:szCs w:val="28"/>
          <w:lang w:val="zh-CN"/>
        </w:rPr>
        <w:t>Обзор изделия</w:t>
      </w:r>
    </w:p>
    <w:p w14:paraId="4B964424">
      <w:r>
        <w:rPr>
          <w:rFonts w:hint="eastAsia" w:ascii="微软雅黑" w:hAnsi="微软雅黑" w:eastAsia="微软雅黑" w:cs="微软雅黑"/>
          <w:b/>
          <w:bCs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2626360</wp:posOffset>
            </wp:positionH>
            <wp:positionV relativeFrom="paragraph">
              <wp:posOffset>530860</wp:posOffset>
            </wp:positionV>
            <wp:extent cx="1289685" cy="1835150"/>
            <wp:effectExtent l="0" t="0" r="5715" b="12700"/>
            <wp:wrapSquare wrapText="bothSides"/>
            <wp:docPr id="1" name="图片 41" descr="2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1" descr="232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 l="29584" t="6357" r="28055" b="7703"/>
                    <a:stretch>
                      <a:fillRect/>
                    </a:stretch>
                  </pic:blipFill>
                  <pic:spPr>
                    <a:xfrm>
                      <a:off x="0" y="0"/>
                      <a:ext cx="1289685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189BA0">
      <w:pPr>
        <w:ind w:firstLine="480"/>
      </w:pPr>
      <w:r>
        <w:rPr>
          <w:rFonts w:hint="eastAsia"/>
        </w:rPr>
        <w:t>GDB11 контроллер газовой сигнализации горючих газов — это контроллер с выходным сигналом 485, разработанный нашей компанией, обладающий такими характеристиками, как хорошая стабильность, высокая точность и интеллектуальная настройка параметров. Внешний порт управления разнообразен: пользователь может свободно выбирать тип газоанализатора и порт подключения, а также выполнять мониторинг на месте и сигнализацию с помощью простой настройки и подключения.</w:t>
      </w:r>
    </w:p>
    <w:p w14:paraId="6CFDDCDB">
      <w:pPr>
        <w:ind w:firstLine="480"/>
      </w:pPr>
    </w:p>
    <w:p w14:paraId="72705C85">
      <w:pPr>
        <w:ind w:firstLine="480"/>
      </w:pPr>
      <w:r>
        <w:rPr>
          <w:rFonts w:hint="eastAsia"/>
        </w:rPr>
        <w:t>Контроллер в основном применяется в случаях мониторинга горючего газа и отображает числовые показания контролируемого газа. Когда показание какого-либо контролируемого газа на месте не соответствует заданному нормативу, система автоматически выполняет ряд действий по сигнализации, таких как сигнализация, вытяжка, аварийное отключение и т. д. (в соответствии с различными настройками пользователя).</w:t>
      </w:r>
    </w:p>
    <w:p w14:paraId="339BBF0D">
      <w:pPr>
        <w:spacing w:line="400" w:lineRule="exact"/>
        <w:rPr>
          <w:rFonts w:ascii="微软雅黑" w:hAnsi="微软雅黑" w:eastAsia="微软雅黑" w:cs="微软雅黑"/>
          <w:sz w:val="18"/>
          <w:szCs w:val="18"/>
        </w:rPr>
      </w:pPr>
    </w:p>
    <w:p w14:paraId="468C9FFB">
      <w:pPr>
        <w:ind w:firstLine="480"/>
      </w:pPr>
      <w:r>
        <w:rPr>
          <w:rFonts w:hint="eastAsia"/>
        </w:rPr>
        <w:t>1.1 Проектирование, изготовление и поверка данного изделия соответствуют следующим национальным стандартам:</w:t>
      </w:r>
    </w:p>
    <w:p w14:paraId="6455B068">
      <w:pPr>
        <w:ind w:firstLine="480"/>
      </w:pPr>
    </w:p>
    <w:p w14:paraId="2C7B8767">
      <w:pPr>
        <w:ind w:firstLine="480"/>
      </w:pPr>
      <w:r>
        <w:rPr>
          <w:rFonts w:hint="eastAsia"/>
        </w:rPr>
        <w:t>GB 12358-2024 «Общие технические требования к приборам обнаружения и сигнализации газа в окружающей среде на рабочих местах»</w:t>
      </w:r>
    </w:p>
    <w:p w14:paraId="01284788">
      <w:pPr>
        <w:pStyle w:val="2"/>
        <w:numPr>
          <w:ilvl w:val="0"/>
          <w:numId w:val="1"/>
        </w:numPr>
        <w:spacing w:beforeLines="30" w:afterLines="30" w:line="288" w:lineRule="auto"/>
        <w:jc w:val="left"/>
        <w:rPr>
          <w:kern w:val="2"/>
          <w:sz w:val="28"/>
          <w:szCs w:val="28"/>
          <w:lang w:val="zh-CN"/>
        </w:rPr>
      </w:pPr>
      <w:r>
        <w:rPr>
          <w:rFonts w:hint="eastAsia"/>
          <w:kern w:val="2"/>
          <w:sz w:val="28"/>
          <w:szCs w:val="28"/>
          <w:lang w:val="zh-CN"/>
        </w:rPr>
        <w:t>Основные технические характеристики</w:t>
      </w:r>
    </w:p>
    <w:p w14:paraId="2B58B89D"/>
    <w:p w14:paraId="40909D71">
      <w:pPr>
        <w:ind w:firstLine="480"/>
      </w:pPr>
      <w:r>
        <w:rPr>
          <w:rFonts w:hint="eastAsia"/>
        </w:rPr>
        <w:t>☆ Способ монтажа: настенное крепление</w:t>
      </w:r>
    </w:p>
    <w:p w14:paraId="56EE406C">
      <w:pPr>
        <w:ind w:firstLine="480"/>
      </w:pPr>
      <w:r>
        <w:rPr>
          <w:rFonts w:hint="eastAsia"/>
        </w:rPr>
        <w:t>☆ Время отклика: ≤10 с</w:t>
      </w:r>
    </w:p>
    <w:p w14:paraId="5EE3DE02">
      <w:pPr>
        <w:ind w:firstLine="480"/>
      </w:pPr>
      <w:r>
        <w:rPr>
          <w:rFonts w:hint="eastAsia"/>
        </w:rPr>
        <w:t>☆ Способ индикации: отображение на цифровых индикаторах, звуковая и световая сигнализация</w:t>
      </w:r>
    </w:p>
    <w:p w14:paraId="7E825C01">
      <w:pPr>
        <w:ind w:firstLine="480"/>
      </w:pPr>
      <w:r>
        <w:rPr>
          <w:rFonts w:hint="eastAsia"/>
        </w:rPr>
        <w:t>☆ Температура условий эксплуатации: -10℃ ~ 50℃</w:t>
      </w:r>
    </w:p>
    <w:p w14:paraId="2A5A2F33">
      <w:pPr>
        <w:ind w:firstLine="480"/>
      </w:pPr>
      <w:r>
        <w:rPr>
          <w:rFonts w:hint="eastAsia"/>
        </w:rPr>
        <w:t>☆ Влажность условий эксплуатации: ≤93%RH</w:t>
      </w:r>
    </w:p>
    <w:p w14:paraId="2F178DC0">
      <w:pPr>
        <w:ind w:firstLine="480"/>
      </w:pPr>
      <w:r>
        <w:rPr>
          <w:rFonts w:hint="eastAsia"/>
        </w:rPr>
        <w:t>☆ Основной источник питания: AC220V±15%, 50Hz± 1% (предохранитель основного питания 3A)</w:t>
      </w:r>
    </w:p>
    <w:p w14:paraId="0B44F1F3">
      <w:pPr>
        <w:ind w:firstLine="480"/>
      </w:pPr>
      <w:r>
        <w:rPr>
          <w:rFonts w:hint="eastAsia"/>
        </w:rPr>
        <w:t>☆ Резервное питание: один аккумулятор DC12V/1.3AH (предохранитель резервного питания 3A)</w:t>
      </w:r>
    </w:p>
    <w:p w14:paraId="13BE7B13">
      <w:pPr>
        <w:ind w:firstLine="480"/>
      </w:pPr>
      <w:r>
        <w:rPr>
          <w:rFonts w:hint="eastAsia"/>
        </w:rPr>
        <w:t>☆ Потребляемая мощность: ≤10W</w:t>
      </w:r>
    </w:p>
    <w:p w14:paraId="0B595365">
      <w:pPr>
        <w:ind w:firstLine="480"/>
      </w:pPr>
      <w:r>
        <w:rPr>
          <w:rFonts w:hint="eastAsia"/>
        </w:rPr>
        <w:t>☆ Напряжение питания газоанализатора: DC24V±10%</w:t>
      </w:r>
    </w:p>
    <w:p w14:paraId="7417E1EA">
      <w:pPr>
        <w:ind w:firstLine="480"/>
      </w:pPr>
      <w:r>
        <w:rPr>
          <w:rFonts w:hint="eastAsia"/>
        </w:rPr>
        <w:t>☆ Расстояние связи между газоанализатором и ведущей станцией: ≤1000m</w:t>
      </w:r>
    </w:p>
    <w:p w14:paraId="085B3B30">
      <w:pPr>
        <w:ind w:firstLine="480"/>
      </w:pPr>
      <w:r>
        <w:rPr>
          <w:rFonts w:hint="eastAsia"/>
        </w:rPr>
        <w:t>☆ Количество местных каналов: 1 шлейф</w:t>
      </w:r>
    </w:p>
    <w:p w14:paraId="7FB97348">
      <w:pPr>
        <w:ind w:firstLine="480"/>
      </w:pPr>
      <w:r>
        <w:rPr>
          <w:rFonts w:hint="eastAsia"/>
        </w:rPr>
        <w:t>☆ Запись срабатываний: ≧1000</w:t>
      </w:r>
    </w:p>
    <w:p w14:paraId="330AC857">
      <w:pPr>
        <w:ind w:firstLine="480"/>
      </w:pPr>
      <w:r>
        <w:rPr>
          <w:rFonts w:hint="eastAsia"/>
        </w:rPr>
        <w:t>☆ Выходы сигнализации: 4 группы</w:t>
      </w:r>
    </w:p>
    <w:p w14:paraId="46C8E6A6">
      <w:pPr>
        <w:ind w:firstLine="480"/>
      </w:pPr>
      <w:r>
        <w:rPr>
          <w:rFonts w:hint="eastAsia"/>
        </w:rPr>
        <w:t>☆ Габаритные размеры: Д310×Ш200×В95 мм</w:t>
      </w:r>
    </w:p>
    <w:p w14:paraId="737AC4CB">
      <w:pPr>
        <w:ind w:firstLine="480"/>
        <w:rPr>
          <w:rFonts w:ascii="微软雅黑" w:hAnsi="微软雅黑" w:eastAsia="微软雅黑" w:cs="微软雅黑"/>
          <w:sz w:val="18"/>
          <w:szCs w:val="18"/>
        </w:rPr>
      </w:pPr>
      <w:r>
        <w:rPr>
          <w:rFonts w:hint="eastAsia"/>
        </w:rPr>
        <w:t>☆ Требования к кабелю между газоанализатором и ведущей станцией: ≥RVVP 4×1.5mm2</w:t>
      </w:r>
    </w:p>
    <w:p w14:paraId="6B5FBD6E">
      <w:pPr>
        <w:pStyle w:val="2"/>
        <w:numPr>
          <w:ilvl w:val="0"/>
          <w:numId w:val="1"/>
        </w:numPr>
        <w:spacing w:beforeLines="30" w:afterLines="30" w:line="288" w:lineRule="auto"/>
        <w:jc w:val="left"/>
        <w:rPr>
          <w:kern w:val="2"/>
          <w:sz w:val="28"/>
          <w:szCs w:val="28"/>
          <w:lang w:val="zh-CN"/>
        </w:rPr>
      </w:pPr>
      <w:r>
        <w:rPr>
          <w:rFonts w:hint="eastAsia"/>
          <w:kern w:val="2"/>
          <w:sz w:val="28"/>
          <w:szCs w:val="28"/>
          <w:lang w:val="zh-CN"/>
        </w:rPr>
        <w:t xml:space="preserve">Описание работы системных функций</w:t>
      </w:r>
      <w:r>
        <w:rPr>
          <w:rFonts w:hint="eastAsia"/>
          <w:kern w:val="2"/>
          <w:sz w:val="28"/>
          <w:szCs w:val="28"/>
        </w:rPr>
        <w:t/>
      </w:r>
      <w:r>
        <w:rPr>
          <w:rFonts w:hint="eastAsia"/>
          <w:kern w:val="2"/>
          <w:sz w:val="28"/>
          <w:szCs w:val="28"/>
          <w:lang w:val="zh-CN"/>
        </w:rPr>
        <w:t/>
      </w:r>
    </w:p>
    <w:p w14:paraId="3DB8DFCA">
      <w:r>
        <w:rPr>
          <w:rFonts w:hint="eastAsia"/>
        </w:rPr>
        <w:t>3.1 Описание интерфейса обнаружения</w:t>
      </w:r>
    </w:p>
    <w:p w14:paraId="00CE0EA0">
      <w:r>
        <w:rPr>
          <w:rFonts w:hint="eastAsia"/>
        </w:rPr>
        <w:t>Контроллер имеет два комплекта 4-разрядных цифровых индикаторов</w:t>
      </w:r>
    </w:p>
    <w:p w14:paraId="34649394">
      <w:r>
        <w:rPr>
          <w:rFonts w:hint="eastAsia"/>
        </w:rPr>
        <w:t>Обычный экран обнаружения — канал 1 и канал 2, время отображается циклически.</w:t>
      </w:r>
    </w:p>
    <w:p w14:paraId="798E6F80">
      <w:r>
        <w:rPr>
          <w:rFonts w:hint="eastAsia"/>
        </w:rPr>
        <w:t>Отображение интерфейса сигнализации: общая сигнализация, канал первого срабатывания, состояние сигнализации, время сигнализации отображаются в строку циклически.</w:t>
      </w:r>
    </w:p>
    <w:p w14:paraId="2705CBDF">
      <w:pPr>
        <w:ind w:firstLine="480"/>
      </w:pPr>
    </w:p>
    <w:p w14:paraId="074FAA2A">
      <w:pPr>
        <w:ind w:firstLine="480"/>
      </w:pPr>
      <w:r>
        <w:rPr>
          <w:rFonts w:hint="eastAsia"/>
        </w:rPr>
        <w:t>CH-1: канал 1. CH-2: канал 2</w:t>
      </w:r>
    </w:p>
    <w:p w14:paraId="28A03313">
      <w:pPr>
        <w:ind w:firstLine="480"/>
      </w:pPr>
      <w:r>
        <w:rPr>
          <w:rFonts w:hint="eastAsia"/>
        </w:rPr>
        <w:t>ALA: общее количество срабатываний FIRS: адрес первого срабатывания</w:t>
      </w:r>
    </w:p>
    <w:p w14:paraId="3C506647">
      <w:pPr>
        <w:ind w:firstLine="480"/>
      </w:pPr>
      <w:r>
        <w:rPr>
          <w:rFonts w:hint="eastAsia"/>
        </w:rPr>
        <w:t>ALL: все каналы L: сигнализация нижнего предела H: сигнализация верхнего предела</w:t>
      </w:r>
    </w:p>
    <w:p w14:paraId="0E24EBC4">
      <w:pPr>
        <w:pStyle w:val="24"/>
        <w:rPr>
          <w:rFonts w:ascii="微软雅黑" w:hAnsi="微软雅黑" w:eastAsia="微软雅黑" w:cs="微软雅黑"/>
          <w:sz w:val="18"/>
          <w:szCs w:val="18"/>
        </w:rPr>
      </w:pPr>
    </w:p>
    <w:p w14:paraId="196BB0D4">
      <w:pPr>
        <w:pStyle w:val="24"/>
      </w:pPr>
      <w:r>
        <w:drawing>
          <wp:inline distT="0" distB="0" distL="114300" distR="114300">
            <wp:extent cx="3902075" cy="949960"/>
            <wp:effectExtent l="0" t="0" r="3175" b="254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02075" cy="94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DA621">
      <w:pPr>
        <w:pStyle w:val="24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80010</wp:posOffset>
                </wp:positionV>
                <wp:extent cx="3897630" cy="328930"/>
                <wp:effectExtent l="0" t="0" r="0" b="0"/>
                <wp:wrapNone/>
                <wp:docPr id="2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7630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A818E6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表示通道1          表示通道1              月份/时间</w:t>
                            </w:r>
                          </w:p>
                          <w:p w14:paraId="324E1B89"/>
                          <w:p w14:paraId="6B82DD3B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55" o:spid="_x0000_s1026" o:spt="202" type="#_x0000_t202" style="position:absolute;left:0pt;margin-left:1.2pt;margin-top:6.3pt;height:25.9pt;width:306.9pt;z-index:251660288;mso-width-relative:page;mso-height-relative:page;" filled="f" stroked="f" coordsize="21600,21600" o:gfxdata="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Elaf/TAAAABwEAAA8AAAAAAAAAAQAgAAAAIgAAAGRycy9kb3ducmV2LnhtbFBLAQIUABQA&#10;AAAIAIdO4kC0Q9fHvAEAAGsDAAAOAAAAAAAAAAEAIAAAACIBAABkcnMvZTJvRG9jLnhtbFBLBQYA&#10;AAAABgAGAFkBAABQ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A818E6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表示通道1          表示通道1              月份/时间</w:t>
                      </w:r>
                    </w:p>
                    <w:p w14:paraId="324E1B89"/>
                    <w:p w14:paraId="6B82DD3B"/>
                  </w:txbxContent>
                </v:textbox>
              </v:shape>
            </w:pict>
          </mc:Fallback>
        </mc:AlternateContent>
      </w:r>
    </w:p>
    <w:p w14:paraId="5274F9E9">
      <w:pPr>
        <w:pStyle w:val="24"/>
        <w:ind w:firstLine="270" w:firstLineChars="150"/>
        <w:rPr>
          <w:rFonts w:ascii="微软雅黑" w:hAnsi="微软雅黑" w:eastAsia="微软雅黑" w:cs="微软雅黑"/>
          <w:sz w:val="18"/>
          <w:szCs w:val="18"/>
        </w:rPr>
      </w:pPr>
    </w:p>
    <w:p w14:paraId="63A545D9">
      <w:pPr>
        <w:pStyle w:val="24"/>
        <w:ind w:firstLine="315" w:firstLineChars="150"/>
        <w:rPr>
          <w:rFonts w:ascii="微软雅黑" w:hAnsi="微软雅黑" w:eastAsia="微软雅黑" w:cs="微软雅黑"/>
          <w:szCs w:val="21"/>
        </w:rPr>
      </w:pPr>
    </w:p>
    <w:p w14:paraId="0D5DCD65">
      <w:pPr>
        <w:pStyle w:val="24"/>
        <w:ind w:firstLine="315" w:firstLineChars="150"/>
        <w:rPr>
          <w:rFonts w:ascii="微软雅黑" w:hAnsi="微软雅黑" w:eastAsia="微软雅黑" w:cs="微软雅黑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980440</wp:posOffset>
                </wp:positionV>
                <wp:extent cx="3971290" cy="373380"/>
                <wp:effectExtent l="0" t="0" r="0" b="0"/>
                <wp:wrapNone/>
                <wp:docPr id="3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290" cy="373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7331E39">
                            <w:pPr>
                              <w:ind w:firstLine="420" w:firstLineChars="200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表示通道故障     表示报警记录          表示故障记录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57" o:spid="_x0000_s1026" o:spt="202" type="#_x0000_t202" style="position:absolute;left:0pt;margin-left:6.35pt;margin-top:77.2pt;height:29.4pt;width:312.7pt;z-index:251661312;mso-width-relative:page;mso-height-relative:page;" filled="f" stroked="f" coordsize="21600,21600" o:gfxdata="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Jf3E9HYAAAACgEAAA8AAAAAAAAAAQAgAAAAIgAAAGRycy9kb3ducmV2LnhtbFBL&#10;AQIUABQAAAAIAIdO4kBbu24LvQEAAGsDAAAOAAAAAAAAAAEAIAAAACcBAABkcnMvZTJvRG9jLnht&#10;bFBLBQYAAAAABgAGAFkBAABW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7331E39">
                      <w:pPr>
                        <w:ind w:firstLine="420" w:firstLineChars="200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表示通道故障     表示报警记录          表示故障记录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3902075" cy="965200"/>
            <wp:effectExtent l="0" t="0" r="3175" b="635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02075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492DA">
      <w:pPr>
        <w:pStyle w:val="24"/>
        <w:ind w:firstLine="315" w:firstLineChars="150"/>
        <w:rPr>
          <w:rFonts w:ascii="微软雅黑" w:hAnsi="微软雅黑" w:eastAsia="微软雅黑" w:cs="微软雅黑"/>
          <w:szCs w:val="21"/>
        </w:rPr>
      </w:pPr>
    </w:p>
    <w:p w14:paraId="46297801">
      <w:pPr>
        <w:pStyle w:val="3"/>
        <w:rPr>
          <w:rFonts w:ascii="微软雅黑" w:hAnsi="微软雅黑" w:eastAsia="微软雅黑" w:cs="微软雅黑"/>
          <w:sz w:val="18"/>
          <w:szCs w:val="18"/>
        </w:rPr>
      </w:pPr>
      <w:bookmarkStart w:id="0" w:name="_Toc19342"/>
      <w:bookmarkStart w:id="1" w:name="_Toc99036299"/>
      <w:bookmarkStart w:id="2" w:name="_Toc13361"/>
      <w:r>
        <w:rPr>
          <w:rFonts w:hint="eastAsia" w:ascii="微软雅黑" w:hAnsi="微软雅黑" w:eastAsia="微软雅黑" w:cs="微软雅黑"/>
          <w:sz w:val="21"/>
          <w:szCs w:val="21"/>
        </w:rPr>
        <w:t>3.2 Описание кнопок:</w:t>
      </w:r>
      <w:bookmarkEnd w:id="0"/>
      <w:bookmarkEnd w:id="1"/>
      <w:bookmarkEnd w:id="2"/>
      <w:r>
        <w:rPr>
          <w:rFonts w:hint="eastAsia" w:ascii="微软雅黑" w:hAnsi="微软雅黑" w:eastAsia="微软雅黑" w:cs="微软雅黑"/>
          <w:sz w:val="21"/>
          <w:szCs w:val="21"/>
        </w:rPr>
        <w:t/>
      </w:r>
      <w:r>
        <w:drawing>
          <wp:inline distT="0" distB="0" distL="114300" distR="114300">
            <wp:extent cx="3901440" cy="734060"/>
            <wp:effectExtent l="0" t="0" r="3810" b="8890"/>
            <wp:docPr id="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99AFB">
      <w:r>
        <w:rPr>
          <w:rFonts w:hint="eastAsia"/>
        </w:rPr>
        <w:t>Кнопка «Вверх»/«Вниз»: листание страниц вверх и вниз. (Можно переключать интерфейс состояния сигнализации)</w:t>
      </w:r>
    </w:p>
    <w:p w14:paraId="7B1B9B89">
      <w:r>
        <w:rPr>
          <w:rFonts w:hint="eastAsia"/>
        </w:rPr>
        <w:t>Кнопка «Запрос/Возврат»: нажмите и удерживайте 1 секунду для просмотра истории срабатываний сигнализации.</w:t>
      </w:r>
    </w:p>
    <w:p w14:paraId="73E9045B">
      <w:r>
        <w:rPr>
          <w:rFonts w:hint="eastAsia"/>
        </w:rPr>
        <w:t>Кнопка «Отключение звука»: после подачи сигнала сигнализации нажмите кнопку отключения звука, чтобы убрать звук.</w:t>
      </w:r>
    </w:p>
    <w:p w14:paraId="441CF95A">
      <w:r>
        <w:rPr>
          <w:rFonts w:hint="eastAsia"/>
        </w:rPr>
        <w:t>Кнопка «Сброс»: когда точка сигнализации восстановится, нажмите кнопку сброса для возврата к обычному экрану обнаружения. (Пароль "0000")</w:t>
      </w:r>
    </w:p>
    <w:p w14:paraId="3842379E">
      <w:r>
        <w:rPr>
          <w:rFonts w:hint="eastAsia"/>
        </w:rPr>
        <w:t>3.3 Описание индикаторов:</w:t>
      </w:r>
    </w:p>
    <w:p w14:paraId="597F8C92">
      <w:r>
        <w:rPr>
          <w:rFonts w:hint="eastAsia"/>
        </w:rPr>
        <w:t>Основное питание в норме: индикатор нормального рабочего состояния — постоянный зелёный.</w:t>
      </w:r>
    </w:p>
    <w:p w14:paraId="12A32D5D">
      <w:r>
        <w:rPr>
          <w:rFonts w:hint="eastAsia"/>
        </w:rPr>
        <w:t>Отказ основного питания: после отключения основного питания индикатор горит постоянным жёлтым (после восстановления основного питания индикатор гаснет).</w:t>
      </w:r>
    </w:p>
    <w:p w14:paraId="1231F6E6">
      <w:r>
        <w:rPr>
          <w:rFonts w:hint="eastAsia"/>
        </w:rPr>
        <w:t>Резервное питание в норме: индикатор нормального состояния — постоянный зелёный.</w:t>
      </w:r>
    </w:p>
    <w:p w14:paraId="4C9A5EA5">
      <w:r>
        <w:rPr>
          <w:rFonts w:hint="eastAsia"/>
        </w:rPr>
        <w:t>Отказ резервного питания: после отключения резервного питания индикатор горит постоянным жёлтым (и гаснет после восстановления резервного питания).</w:t>
      </w:r>
    </w:p>
    <w:p w14:paraId="66A9DB33">
      <w:r>
        <w:rPr>
          <w:rFonts w:hint="eastAsia"/>
        </w:rPr>
        <w:t>Сигнализация нижнего уровня: при превышении концентрации, измеряемой газоанализатором, значения 20%LEL индикатор горит постоянным красным.</w:t>
      </w:r>
    </w:p>
    <w:p w14:paraId="0EF372C4">
      <w:r>
        <w:rPr>
          <w:rFonts w:hint="eastAsia"/>
        </w:rPr>
        <w:t>Сигнализация верхнего уровня: при превышении концентрации, измеряемой газоанализатором, значения 50%LEL индикатор горит постоянным красным.</w:t>
      </w:r>
    </w:p>
    <w:p w14:paraId="73B8BAC6">
      <w:r>
        <w:rPr>
          <w:rFonts w:hint="eastAsia"/>
        </w:rPr>
        <w:t>Отказ связи: при отключении газоанализатора индикатор горит постоянным жёлтым.</w:t>
      </w:r>
    </w:p>
    <w:p w14:paraId="4D0614F7">
      <w:r>
        <w:rPr>
          <w:rFonts w:hint="eastAsia"/>
        </w:rPr>
        <w:t>Общая неисправность: когда контроллер подаёт любой сигнал неисправности, индикатор горит постоянным жёлтым.</w:t>
      </w:r>
    </w:p>
    <w:p w14:paraId="25B149F0">
      <w:r>
        <w:rPr>
          <w:rFonts w:hint="eastAsia"/>
        </w:rPr>
        <w:t>Индикатор подавления звука: контроллер подаёт звук сигнализации, при этом после подавления звука индикатор горит постоянным красным.</w:t>
      </w:r>
    </w:p>
    <w:p w14:paraId="32E76BDC">
      <w:pPr>
        <w:pStyle w:val="2"/>
        <w:numPr>
          <w:ilvl w:val="0"/>
          <w:numId w:val="1"/>
        </w:numPr>
        <w:spacing w:beforeLines="30" w:afterLines="30" w:line="288" w:lineRule="auto"/>
        <w:jc w:val="left"/>
        <w:rPr>
          <w:kern w:val="2"/>
          <w:sz w:val="28"/>
          <w:szCs w:val="28"/>
          <w:lang w:val="zh-CN"/>
        </w:rPr>
      </w:pPr>
      <w:r>
        <w:rPr>
          <w:rFonts w:hint="eastAsia"/>
          <w:kern w:val="2"/>
          <w:sz w:val="28"/>
          <w:szCs w:val="28"/>
          <w:lang w:val="zh-CN"/>
        </w:rPr>
        <w:t>Описание функций меню:</w:t>
      </w:r>
    </w:p>
    <w:p w14:paraId="3869AA51">
      <w:r>
        <w:rPr>
          <w:rFonts w:hint="eastAsia"/>
        </w:rPr>
        <w:t>Примечание: пункты меню контроллера прошли заводской контроль. При необходимости изменения ключевых параметров рекомендуется согласовать это с производителем и не изменять их самостоятельно.</w:t>
      </w:r>
    </w:p>
    <w:p w14:paraId="66BC089B">
      <w:r>
        <w:rPr>
          <w:rFonts w:hint="eastAsia"/>
        </w:rPr>
        <w:t>Система использует режим входа пользователя для управления правами на работу; пользователи, не вошедшие в систему, могут использовать только функцию подавления звука. Нажмите &amp;lt; кнопку «Меню» &amp;gt; чтобы перейти к пользовательскому интерфейсу "Ввод пароля", нажмите на дисплее кнопку "Ввод", введите пароль 1111 и нажмите "ОК" для перехода к настройке функций.</w:t>
      </w:r>
    </w:p>
    <w:p w14:paraId="32522C87">
      <w:pPr>
        <w:ind w:firstLine="480"/>
      </w:pPr>
      <w:r>
        <w:rPr>
          <w:rFonts w:hint="eastAsia"/>
        </w:rPr>
        <w:t>FU-7: Настройка времени</w:t>
      </w:r>
    </w:p>
    <w:p w14:paraId="4A478BDB">
      <w:pPr>
        <w:ind w:firstLine="480"/>
      </w:pPr>
      <w:r>
        <w:rPr>
          <w:rFonts w:hint="eastAsia"/>
        </w:rPr>
        <w:t>FU-8: Самодиагностика функций (проверка нормальной работы функции отображения, индикаторов и звука)</w:t>
      </w:r>
    </w:p>
    <w:p w14:paraId="54281414">
      <w:pPr>
        <w:ind w:firstLine="480"/>
      </w:pPr>
      <w:r>
        <w:rPr>
          <w:rFonts w:hint="eastAsia"/>
        </w:rPr>
        <w:t>FU-9: История (можно просматривать историю срабатываний сигнализации)</w:t>
      </w:r>
    </w:p>
    <w:p w14:paraId="760378D0">
      <w:pPr>
        <w:ind w:firstLine="480"/>
      </w:pPr>
      <w:r>
        <w:rPr>
          <w:rFonts w:hint="eastAsia"/>
        </w:rPr>
        <w:t>Выход из меню: нажмите кнопку «Запрос/Возврат» для выхода</w:t>
      </w:r>
    </w:p>
    <w:tbl>
      <w:tblPr>
        <w:tblStyle w:val="10"/>
        <w:tblpPr w:leftFromText="180" w:rightFromText="180" w:vertAnchor="text" w:horzAnchor="page" w:tblpX="1406" w:tblpY="14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892"/>
        <w:gridCol w:w="706"/>
        <w:gridCol w:w="2924"/>
      </w:tblGrid>
      <w:tr w14:paraId="3A324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  <w:noWrap/>
          </w:tcPr>
          <w:p w14:paraId="0C7D4285">
            <w:pPr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/>
              </w:rPr>
              <w:t xml:space="preserve">Меню</w:t>
            </w:r>
          </w:p>
        </w:tc>
        <w:tc>
          <w:tcPr>
            <w:tcW w:w="1892" w:type="dxa"/>
            <w:noWrap/>
          </w:tcPr>
          <w:p w14:paraId="78181AC3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/>
              </w:rPr>
              <w:t xml:space="preserve">Функция</w:t>
            </w:r>
          </w:p>
        </w:tc>
        <w:tc>
          <w:tcPr>
            <w:tcW w:w="706" w:type="dxa"/>
            <w:noWrap/>
          </w:tcPr>
          <w:p w14:paraId="5ECE76B4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/>
              </w:rPr>
              <w:t>Меню</w:t>
            </w:r>
          </w:p>
        </w:tc>
        <w:tc>
          <w:tcPr>
            <w:tcW w:w="2924" w:type="dxa"/>
            <w:noWrap/>
          </w:tcPr>
          <w:p w14:paraId="173428BC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/>
              </w:rPr>
              <w:t>Функция</w:t>
            </w:r>
          </w:p>
        </w:tc>
      </w:tr>
      <w:tr w14:paraId="2FF70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  <w:noWrap/>
          </w:tcPr>
          <w:p w14:paraId="3AC9839A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FU01</w:t>
            </w:r>
          </w:p>
        </w:tc>
        <w:tc>
          <w:tcPr>
            <w:tcW w:w="1892" w:type="dxa"/>
            <w:noWrap/>
          </w:tcPr>
          <w:p w14:paraId="26136A79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/>
              </w:rPr>
              <w:t>Настройка сигнализации первого уровня</w:t>
            </w:r>
          </w:p>
        </w:tc>
        <w:tc>
          <w:tcPr>
            <w:tcW w:w="706" w:type="dxa"/>
            <w:noWrap/>
          </w:tcPr>
          <w:p w14:paraId="3EB4C3BB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FU05</w:t>
            </w:r>
          </w:p>
        </w:tc>
        <w:tc>
          <w:tcPr>
            <w:tcW w:w="2924" w:type="dxa"/>
            <w:noWrap/>
          </w:tcPr>
          <w:p w14:paraId="6CEF31AF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/>
              </w:rPr>
              <w:t>смещение нуля</w:t>
            </w:r>
          </w:p>
        </w:tc>
      </w:tr>
      <w:tr w14:paraId="67CF8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  <w:noWrap/>
          </w:tcPr>
          <w:p w14:paraId="03DAAF86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FU02</w:t>
            </w:r>
          </w:p>
        </w:tc>
        <w:tc>
          <w:tcPr>
            <w:tcW w:w="1892" w:type="dxa"/>
            <w:noWrap/>
          </w:tcPr>
          <w:p w14:paraId="143103ED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/>
              </w:rPr>
              <w:t xml:space="preserve">Настройка сигнализации второго уровня</w:t>
            </w:r>
          </w:p>
        </w:tc>
        <w:tc>
          <w:tcPr>
            <w:tcW w:w="706" w:type="dxa"/>
            <w:noWrap/>
          </w:tcPr>
          <w:p w14:paraId="00EEB219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FU07</w:t>
            </w:r>
          </w:p>
        </w:tc>
        <w:tc>
          <w:tcPr>
            <w:tcW w:w="2924" w:type="dxa"/>
            <w:noWrap/>
          </w:tcPr>
          <w:p w14:paraId="1B56B5C2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/>
              </w:rPr>
              <w:t>Системное время</w:t>
            </w:r>
          </w:p>
        </w:tc>
      </w:tr>
      <w:tr w14:paraId="7DC1F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  <w:noWrap/>
          </w:tcPr>
          <w:p w14:paraId="3204B584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FU03</w:t>
            </w:r>
          </w:p>
        </w:tc>
        <w:tc>
          <w:tcPr>
            <w:tcW w:w="1892" w:type="dxa"/>
            <w:noWrap/>
          </w:tcPr>
          <w:p w14:paraId="21C52566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/>
              </w:rPr>
              <w:t>настройка точности</w:t>
            </w:r>
          </w:p>
        </w:tc>
        <w:tc>
          <w:tcPr>
            <w:tcW w:w="706" w:type="dxa"/>
            <w:noWrap/>
          </w:tcPr>
          <w:p w14:paraId="5C902722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FU08</w:t>
            </w:r>
          </w:p>
        </w:tc>
        <w:tc>
          <w:tcPr>
            <w:tcW w:w="2924" w:type="dxa"/>
            <w:noWrap/>
          </w:tcPr>
          <w:p w14:paraId="00C7A51F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/>
              </w:rPr>
              <w:t>самодиагностика функций</w:t>
            </w:r>
          </w:p>
        </w:tc>
      </w:tr>
      <w:tr w14:paraId="3CB4B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  <w:noWrap/>
          </w:tcPr>
          <w:p w14:paraId="0EE0A1CB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FU04</w:t>
            </w:r>
          </w:p>
        </w:tc>
        <w:tc>
          <w:tcPr>
            <w:tcW w:w="1892" w:type="dxa"/>
            <w:noWrap/>
          </w:tcPr>
          <w:p w14:paraId="3487DE01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/>
              </w:rPr>
              <w:t>Диапазон</w:t>
            </w:r>
          </w:p>
        </w:tc>
        <w:tc>
          <w:tcPr>
            <w:tcW w:w="706" w:type="dxa"/>
            <w:noWrap/>
          </w:tcPr>
          <w:p w14:paraId="38E84640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FU09</w:t>
            </w:r>
          </w:p>
        </w:tc>
        <w:tc>
          <w:tcPr>
            <w:tcW w:w="2924" w:type="dxa"/>
            <w:noWrap/>
          </w:tcPr>
          <w:p w14:paraId="1F610B45">
            <w:pPr>
              <w:pStyle w:val="24"/>
              <w:widowControl w:val="0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/>
              </w:rPr>
              <w:t>история (можно просматривать историю срабатываний сигнализации)</w:t>
            </w:r>
          </w:p>
        </w:tc>
      </w:tr>
    </w:tbl>
    <w:p w14:paraId="1DE7EDD2"/>
    <w:p w14:paraId="03A354F0">
      <w:pPr>
        <w:ind w:firstLine="480"/>
      </w:pPr>
      <w:r>
        <w:rPr>
          <w:rFonts w:hint="eastAsia"/>
        </w:rPr>
        <w:t>1. Как войти в меню</w:t>
      </w:r>
    </w:p>
    <w:p w14:paraId="3ACC34F9">
      <w:pPr>
        <w:ind w:firstLine="480"/>
      </w:pPr>
      <w:r>
        <w:rPr>
          <w:rFonts w:hint="eastAsia"/>
        </w:rPr>
        <w:t>В состоянии обнаружения нажмите кнопку "Подтверждение/меню" для входа в интерфейс ввода пароля: первая строка цифрового индикатора отображает "PASS", вторая строка цифрового индикатора отображает текущий пароль. Нажимайте кнопку ▲ или кнопку ▼ для увеличения или уменьшения значения, нажмите кнопку "Подтверждение/меню" для подтверждения значения; после ввода четырёхзначного пароля нажмите кнопку "Подтверждение/меню". Если пароль верный (1111), отображается меню. Если пароль неверный, появляется Err и происходит возврат в состояние обнаружения.</w:t>
      </w:r>
    </w:p>
    <w:p w14:paraId="4D6DBA26">
      <w:pPr>
        <w:ind w:firstLine="480"/>
      </w:pPr>
      <w:r>
        <w:rPr>
          <w:rFonts w:hint="eastAsia"/>
        </w:rPr>
        <w:t>2. Как выбрать функции</w:t>
      </w:r>
    </w:p>
    <w:p w14:paraId="2A257216">
      <w:pPr>
        <w:ind w:firstLine="480"/>
      </w:pPr>
      <w:r>
        <w:rPr>
          <w:rFonts w:hint="eastAsia"/>
        </w:rPr>
        <w:t>После подтверждения правильности пароля первая строка цифрового индикатора отобразит CH01, что означает первый канал. Нажимайте кнопку ▲ или ▼ для переключения между каналами (ALL означает синхронную настройку всех каналов). Нажмите "Подтверждение/Меню" для перехода к FU01, что означает функцию 1; нажимайте ▲ или ▼ для выбора других функций; нажмите "Запрос/Возврат" для выхода из функции меню и возврата к интерфейсу выбора канала.</w:t>
      </w:r>
    </w:p>
    <w:p w14:paraId="21B5A88B">
      <w:pPr>
        <w:ind w:firstLine="480"/>
      </w:pPr>
      <w:r>
        <w:rPr>
          <w:rFonts w:hint="eastAsia"/>
        </w:rPr>
        <w:t>3. Как настроить значение сигнализации первого уровня</w:t>
      </w:r>
    </w:p>
    <w:p w14:paraId="125962BC">
      <w:pPr>
        <w:ind w:firstLine="480"/>
      </w:pPr>
      <w:r>
        <w:rPr>
          <w:rFonts w:hint="eastAsia"/>
        </w:rPr>
        <w:t>После входа в функцию FU01 отображается 20, что означает нижнее значение текущего канала. Нажимайте кнопку ▲ или ▼ для увеличения или уменьшения значения (либо длительно нажмите кнопку ▲ или ▼ для увеличения или уменьшения на 10 значений); нажмите кнопку "Подтверждение/меню", чтобы вернуть сохранённые данные в каталог выбора функций, либо нажмите кнопку "Запрос/Возврат", чтобы вернуться в каталог выбора функций без сохранения. (Перед настройкой данной функции подтвердите настройку точности)</w:t>
      </w:r>
    </w:p>
    <w:p w14:paraId="6CFB3C55">
      <w:pPr>
        <w:ind w:firstLine="480"/>
      </w:pPr>
      <w:r>
        <w:rPr>
          <w:rFonts w:hint="eastAsia"/>
        </w:rPr>
        <w:t>4. Как настроить значение сигнализации второго уровня</w:t>
      </w:r>
    </w:p>
    <w:p w14:paraId="39A36802">
      <w:pPr>
        <w:ind w:firstLine="480"/>
      </w:pPr>
      <w:r>
        <w:rPr>
          <w:rFonts w:hint="eastAsia"/>
        </w:rPr>
        <w:t>После входа в функцию FU02 отображается 50, что означает верхнее значение текущего канала. Нажимайте кнопку ▲ или ▼ для увеличения или уменьшения значения; нажмите кнопку "Подтверждение/меню", чтобы вернуть сохранённые данные в каталог выбора функций, либо нажмите кнопку "Запрос/Возврат", чтобы вернуться в каталог выбора функций без сохранения. (Перед настройкой данной функции подтвердите настройку точности)</w:t>
      </w:r>
    </w:p>
    <w:p w14:paraId="2023CF38">
      <w:pPr>
        <w:ind w:firstLine="480"/>
      </w:pPr>
      <w:r>
        <w:rPr>
          <w:rFonts w:hint="eastAsia"/>
        </w:rPr>
        <w:t>5. Как настроить точность</w:t>
      </w:r>
    </w:p>
    <w:p w14:paraId="4A7786BB">
      <w:pPr>
        <w:ind w:firstLine="420" w:firstLineChars="200"/>
      </w:pPr>
      <w:r>
        <w:rPr>
          <w:rFonts w:hint="eastAsia"/>
        </w:rPr>
        <w:t>После входа в функцию FU03 будут отображаться 0, 0.0, 0.00, 0.000, что означает текущее значение точности. Нажимайте кнопку ▲ или ▼ для изменения значения точности; нажмите кнопку "Подтверждение/Меню", чтобы вернуть сохранённые данные в каталог выбора функций, либо нажмите кнопку "Запрос/Возврат", чтобы вернуться в каталог выбора функций без сохранения.</w:t>
      </w:r>
    </w:p>
    <w:p w14:paraId="0D73A7B5">
      <w:pPr>
        <w:ind w:firstLine="480"/>
      </w:pPr>
      <w:r>
        <w:rPr>
          <w:rFonts w:hint="eastAsia"/>
        </w:rPr>
        <w:t>6. Как настроить значение диапазона</w:t>
      </w:r>
    </w:p>
    <w:p w14:paraId="50D0F873">
      <w:pPr>
        <w:ind w:firstLine="480"/>
      </w:pPr>
      <w:r>
        <w:rPr>
          <w:rFonts w:hint="eastAsia"/>
        </w:rPr>
        <w:t>После входа в функцию FU04 отображается 100, что означает текущее значение диапазона. Нажимайте кнопку ▲ и ▼ для увеличения или уменьшения значения (либо длительно нажмите кнопку ▲ или ▼ для увеличения или уменьшения на 10 значений); нажмите кнопку "Подтверждение/меню", чтобы вернуть сохранённые данные в каталог выбора функций, либо нажмите кнопку "Запрос/Возврат", чтобы вернуться в каталог выбора функций без сохранения. (Перед настройкой данной функции подтвердите настройку точности)</w:t>
      </w:r>
    </w:p>
    <w:p w14:paraId="40AC5C7B">
      <w:pPr>
        <w:ind w:firstLine="480"/>
      </w:pPr>
      <w:r>
        <w:rPr>
          <w:rFonts w:hint="eastAsia"/>
        </w:rPr>
        <w:t>7. Как выполнить смещение нуля</w:t>
      </w:r>
    </w:p>
    <w:p w14:paraId="75BD2054">
      <w:pPr>
        <w:ind w:firstLine="480"/>
      </w:pPr>
      <w:r>
        <w:rPr>
          <w:rFonts w:hint="eastAsia"/>
        </w:rPr>
        <w:t>После входа в функцию FU05 отображается текущее значение AD нуля. Нажмите кнопку "Подтверждение/Меню", чтобы вернуть сохранённые данные в каталог выбора функций, либо нажмите кнопку "Запрос/Возврат", чтобы вернуться в каталог выбора функций без сохранения.</w:t>
      </w:r>
    </w:p>
    <w:p w14:paraId="3694807A">
      <w:pPr>
        <w:ind w:firstLine="480"/>
      </w:pPr>
      <w:r>
        <w:rPr>
          <w:rFonts w:hint="eastAsia"/>
        </w:rPr>
        <w:t>8. Как настроить время</w:t>
      </w:r>
    </w:p>
    <w:p w14:paraId="4759FB7F">
      <w:pPr>
        <w:ind w:firstLine="480"/>
      </w:pPr>
      <w:r>
        <w:rPr>
          <w:rFonts w:hint="eastAsia"/>
        </w:rPr>
        <w:t>После входа в функцию FU07 отображается время. Нажимайте кнопку ▲ или ▼ для настройки времени, а кнопкой "Подтверждение/Меню" переключайте настраиваемые параметры. Нажмите "Подтверждение/Меню", чтобы вернуть сохранённые данные в каталог выбора функций, либо нажмите "Запрос/Возврат", чтобы вернуться в каталог выбора функций без сохранения данных.</w:t>
      </w:r>
    </w:p>
    <w:p w14:paraId="53F0FB2E">
      <w:pPr>
        <w:ind w:firstLine="420" w:firstLineChars="200"/>
      </w:pPr>
      <w:r>
        <w:rPr>
          <w:rFonts w:hint="eastAsia"/>
        </w:rPr>
        <w:t>9. Самодиагностика системы</w:t>
      </w:r>
    </w:p>
    <w:p w14:paraId="618E55EE">
      <w:pPr>
        <w:ind w:firstLine="480"/>
      </w:pPr>
    </w:p>
    <w:p w14:paraId="0C38F0C8">
      <w:pPr>
        <w:ind w:firstLine="480"/>
      </w:pPr>
      <w:r>
        <w:rPr>
          <w:rFonts w:hint="eastAsia"/>
        </w:rPr>
        <w:t>После входа в функцию FU08 все разряды цифровых индикаторов подсвечиваются, звучит зуммер, мигает лампа сигнализации — проверьте, работает ли всё нормально.</w:t>
      </w:r>
    </w:p>
    <w:p w14:paraId="7199194C">
      <w:pPr>
        <w:ind w:firstLine="480"/>
      </w:pPr>
    </w:p>
    <w:p w14:paraId="1811782D">
      <w:pPr>
        <w:ind w:firstLine="480"/>
      </w:pPr>
      <w:r>
        <w:rPr>
          <w:rFonts w:hint="eastAsia"/>
        </w:rPr>
        <w:t>10. Просмотр истории</w:t>
      </w:r>
    </w:p>
    <w:p w14:paraId="215EBA3C">
      <w:pPr>
        <w:ind w:firstLine="480"/>
      </w:pPr>
    </w:p>
    <w:p w14:paraId="004B129F">
      <w:pPr>
        <w:ind w:firstLine="480"/>
      </w:pPr>
      <w:r>
        <w:rPr>
          <w:rFonts w:hint="eastAsia"/>
        </w:rPr>
        <w:t>Отображается страница истории функции FU09. Нажимайте кнопку вверх или вниз для переключения между записью срабатываний и записью неисправностей. "RLR" означает запись срабатываний, "Err" — запись неисправностей. Каждая информация о срабатывании отображается на трёх экранах. На третьем экране отображаются время и тип срабатывания. "L" означает сигнализацию первого уровня, "H" — сигнализацию второго уровня, "----" — сигнализацию неисправности. При использовании резервной точки AC означает неисправность основного питания, BAT — неисправность резервного питания. Нажимайте кнопку ▲ и кнопку ▼ для просмотра предыдущей и следующей записи. На экране обнаружения удерживайте кнопку «Запрос/Возврат» в течение 2 с для перехода к экрану просмотра истории.</w:t>
      </w:r>
    </w:p>
    <w:p w14:paraId="47C51370">
      <w:pPr>
        <w:ind w:firstLine="480"/>
        <w:rPr>
          <w:rFonts w:ascii="微软雅黑" w:hAnsi="微软雅黑" w:eastAsia="微软雅黑" w:cs="微软雅黑"/>
          <w:b/>
          <w:sz w:val="18"/>
          <w:szCs w:val="18"/>
        </w:rPr>
      </w:pPr>
      <w:r>
        <w:rPr>
          <w:rFonts w:hint="eastAsia"/>
        </w:rPr>
        <w:t>IV. Инструкция по подключению</w:t>
      </w:r>
    </w:p>
    <w:p w14:paraId="51A62936">
      <w:pPr>
        <w:rPr>
          <w:rFonts w:ascii="微软雅黑" w:hAnsi="微软雅黑" w:eastAsia="微软雅黑" w:cs="微软雅黑"/>
          <w:b/>
          <w:sz w:val="18"/>
          <w:szCs w:val="18"/>
        </w:rPr>
      </w:pPr>
      <w:r>
        <w:rPr>
          <w:rFonts w:hint="eastAsia" w:ascii="微软雅黑" w:hAnsi="微软雅黑" w:eastAsia="微软雅黑" w:cs="微软雅黑"/>
          <w:b/>
          <w:sz w:val="18"/>
          <w:szCs w:val="18"/>
        </w:rPr>
        <w:t>При подключении обращайте внимание на обозначения под клеммами</w:t>
      </w:r>
    </w:p>
    <w:p w14:paraId="15514783">
      <w:pPr>
        <w:rPr>
          <w:rFonts w:ascii="微软雅黑" w:hAnsi="微软雅黑" w:eastAsia="微软雅黑" w:cs="微软雅黑"/>
          <w:b/>
          <w:sz w:val="18"/>
          <w:szCs w:val="18"/>
        </w:rPr>
      </w:pPr>
    </w:p>
    <w:p w14:paraId="4D1BB78A">
      <w:r>
        <w:drawing>
          <wp:inline distT="0" distB="0" distL="114300" distR="114300">
            <wp:extent cx="3901440" cy="544195"/>
            <wp:effectExtent l="0" t="0" r="3810" b="8255"/>
            <wp:docPr id="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BAD6F">
      <w:pPr>
        <w:rPr>
          <w:b/>
          <w:bCs/>
        </w:rPr>
      </w:pPr>
      <w:r>
        <w:rPr>
          <w:rFonts w:hint="eastAsia"/>
          <w:b/>
          <w:bCs/>
        </w:rPr>
        <w:t>Четырёхшинный контроллер (с импульсным выходом, с резервным питанием)</w:t>
      </w:r>
    </w:p>
    <w:p w14:paraId="0CA42565">
      <w:pPr>
        <w:rPr>
          <w:rFonts w:ascii="微软雅黑" w:hAnsi="微软雅黑" w:eastAsia="微软雅黑" w:cs="微软雅黑"/>
          <w:sz w:val="18"/>
          <w:szCs w:val="18"/>
        </w:rPr>
      </w:pPr>
      <w:r>
        <w:rPr>
          <w:rFonts w:hint="eastAsia"/>
        </w:rPr>
        <w:drawing>
          <wp:inline distT="0" distB="0" distL="114300" distR="114300">
            <wp:extent cx="3898900" cy="586105"/>
            <wp:effectExtent l="0" t="0" r="6350" b="4445"/>
            <wp:docPr id="7" name="图片 5" descr="接线板1 - 副本_看图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接线板1 - 副本_看图王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98900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5E8AD">
      <w:pPr>
        <w:ind w:firstLine="480"/>
      </w:pPr>
      <w:r>
        <w:rPr>
          <w:rFonts w:hint="eastAsia"/>
        </w:rPr>
        <w:t>1. Контроллер имеет один комплект точек подключения газоанализатора. Клеммы подключения на газоанализаторе: VCC — плюс, GND — минус, A, B, всего 4 позиции подключения. Для соединения с клеммами на ведущей станции: плюс +, минус -, A, B.</w:t>
      </w:r>
    </w:p>
    <w:p w14:paraId="51940351">
      <w:pPr>
        <w:ind w:firstLine="480"/>
      </w:pPr>
      <w:r>
        <w:rPr>
          <w:rFonts w:hint="eastAsia"/>
        </w:rPr>
        <w:t>2. Контроллер сигнализации имеет стандартный порт передачи 485, к которому можно подключать графические дисплейные устройства, компьютеры и другое оборудование; "A" — сигнал 485 +; "B" — сигнал 485 - (порядок подключения должен быть одинаковым, иначе возникнет отказ связи устройства).</w:t>
      </w:r>
    </w:p>
    <w:p w14:paraId="7C554C7C">
      <w:pPr>
        <w:ind w:firstLine="480"/>
      </w:pPr>
      <w:r>
        <w:rPr>
          <w:rFonts w:hint="eastAsia"/>
        </w:rPr>
        <w:t>3. Контроллер сигнализации имеет два комплекта выхода пассивного коммутационного сигнала: выход сигнализации нижнего предела и выход сигнализации верхнего предела.</w:t>
      </w:r>
    </w:p>
    <w:p w14:paraId="14F93FD5">
      <w:pPr>
        <w:ind w:firstLine="480"/>
      </w:pPr>
      <w:r>
        <w:rPr>
          <w:rFonts w:hint="eastAsia"/>
        </w:rPr>
        <w:t>4. Контроллер имеет один комплект клемм импульсного сигнала 220V, к которым можно подключать электромагнитные клапаны 220V и другое оборудование блокировки.</w:t>
      </w:r>
    </w:p>
    <w:p w14:paraId="305CE2A9">
      <w:pPr>
        <w:ind w:firstLine="480"/>
      </w:pPr>
      <w:r>
        <w:rPr>
          <w:rFonts w:hint="eastAsia"/>
        </w:rPr>
        <w:t>5. Контроллер имеет один комплект клемм выхода неисправности. При неисправности ведущей станции коммутационный контакт неисправности замыкается и подаётся сигнал неисправности.</w:t>
      </w:r>
    </w:p>
    <w:p w14:paraId="282FFEA4">
      <w:pPr>
        <w:ind w:firstLine="480"/>
      </w:pPr>
      <w:r>
        <w:rPr>
          <w:rFonts w:hint="eastAsia"/>
        </w:rPr>
        <w:t>6. Контроллер имеет один комплект клемм подключения питания 220V: L — фазный провод, N — нулевой провод, ╧ — заземляющий провод.</w:t>
      </w:r>
    </w:p>
    <w:p w14:paraId="74A4FB6E">
      <w:pPr>
        <w:jc w:val="left"/>
        <w:rPr>
          <w:rFonts w:ascii="微软雅黑" w:hAnsi="微软雅黑" w:eastAsia="微软雅黑" w:cs="微软雅黑"/>
          <w:sz w:val="18"/>
          <w:szCs w:val="18"/>
        </w:rPr>
      </w:pPr>
    </w:p>
    <w:p w14:paraId="609F1167">
      <w:pPr>
        <w:jc w:val="left"/>
        <w:rPr>
          <w:rFonts w:ascii="微软雅黑" w:hAnsi="微软雅黑" w:eastAsia="微软雅黑" w:cs="微软雅黑"/>
          <w:sz w:val="18"/>
          <w:szCs w:val="18"/>
        </w:rPr>
      </w:pPr>
      <w:r>
        <w:drawing>
          <wp:inline distT="0" distB="0" distL="114300" distR="114300">
            <wp:extent cx="3898900" cy="1779905"/>
            <wp:effectExtent l="0" t="0" r="6350" b="10795"/>
            <wp:docPr id="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98900" cy="177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D258F">
      <w:pPr>
        <w:jc w:val="left"/>
        <w:rPr>
          <w:rFonts w:ascii="微软雅黑" w:hAnsi="微软雅黑" w:eastAsia="微软雅黑" w:cs="微软雅黑"/>
          <w:sz w:val="18"/>
          <w:szCs w:val="18"/>
        </w:rPr>
      </w:pPr>
    </w:p>
    <w:p w14:paraId="158FDC02">
      <w:pPr>
        <w:rPr>
          <w:rFonts w:ascii="微软雅黑" w:hAnsi="微软雅黑" w:eastAsia="微软雅黑" w:cs="微软雅黑"/>
          <w:sz w:val="18"/>
          <w:szCs w:val="18"/>
        </w:rPr>
      </w:pPr>
    </w:p>
    <w:p w14:paraId="0239089B">
      <w:pPr>
        <w:pStyle w:val="2"/>
        <w:numPr>
          <w:ilvl w:val="0"/>
          <w:numId w:val="1"/>
        </w:numPr>
        <w:spacing w:beforeLines="30" w:afterLines="30" w:line="288" w:lineRule="auto"/>
        <w:jc w:val="left"/>
        <w:rPr>
          <w:kern w:val="2"/>
          <w:sz w:val="28"/>
          <w:szCs w:val="28"/>
          <w:lang w:val="zh-CN"/>
        </w:rPr>
      </w:pPr>
      <w:r>
        <w:rPr>
          <w:rFonts w:hint="eastAsia"/>
          <w:kern w:val="2"/>
          <w:sz w:val="28"/>
          <w:szCs w:val="28"/>
          <w:lang w:val="zh-CN"/>
        </w:rPr>
        <w:t>Меры предосторожности при монтаже</w:t>
      </w:r>
    </w:p>
    <w:p w14:paraId="78B1F8CC">
      <w:pPr>
        <w:ind w:firstLine="420" w:firstLineChars="200"/>
      </w:pPr>
      <w:r>
        <w:rPr>
          <w:rFonts w:hint="eastAsia"/>
        </w:rPr>
        <w:t>1. Контроллер нельзя устанавливать в местах с агрессивными газами, масляным дымом, пылью и частыми дождями.</w:t>
      </w:r>
    </w:p>
    <w:p w14:paraId="02C97D4E">
      <w:pPr>
        <w:ind w:firstLine="480"/>
      </w:pPr>
      <w:r>
        <w:rPr>
          <w:rFonts w:hint="eastAsia"/>
        </w:rPr>
        <w:t>2. Перед монтажом точечного газоанализатора горючих газов отключите питание контроллера, а после монтажа включите питание контроллера.</w:t>
      </w:r>
    </w:p>
    <w:p w14:paraId="454404D5">
      <w:pPr>
        <w:ind w:firstLine="480"/>
      </w:pPr>
      <w:r>
        <w:rPr>
          <w:rFonts w:hint="eastAsia"/>
        </w:rPr>
        <w:t>3. Контроллер следует устанавливать в месте, где есть дежурный персонал, который сможет своевременно отреагировать при срабатывании сигнализации.</w:t>
      </w:r>
    </w:p>
    <w:p w14:paraId="58707BDD">
      <w:pPr>
        <w:ind w:firstLine="480"/>
      </w:pPr>
      <w:r>
        <w:rPr>
          <w:rFonts w:hint="eastAsia"/>
        </w:rPr>
        <w:t>4. Рекомендуется подключить корпус контроллера к заземляющему проводу для предотвращения помех связи.</w:t>
      </w:r>
    </w:p>
    <w:p w14:paraId="5155B9E7">
      <w:pPr>
        <w:ind w:firstLine="480"/>
      </w:pPr>
      <w:r>
        <w:rPr>
          <w:rFonts w:hint="eastAsia"/>
        </w:rPr>
        <w:t>6. Типичные неисправности и способы их устранения</w:t>
      </w:r>
    </w:p>
    <w:p w14:paraId="37365031">
      <w:pPr>
        <w:ind w:firstLine="480"/>
      </w:pPr>
    </w:p>
    <w:p w14:paraId="183160CB">
      <w:pPr>
        <w:ind w:firstLine="480"/>
      </w:pPr>
      <w:r>
        <w:rPr>
          <w:rFonts w:hint="eastAsia"/>
        </w:rPr>
        <w:t>1. Система не реагирует после включения питания. Проверьте, подано ли питание на систему и горит ли индикатор на импульсном блоке питания.</w:t>
      </w:r>
    </w:p>
    <w:p w14:paraId="18F68EDF">
      <w:pPr>
        <w:ind w:firstLine="480"/>
      </w:pPr>
      <w:r>
        <w:rPr>
          <w:rFonts w:hint="eastAsia"/>
        </w:rPr>
        <w:t>2. Если при запуске отображается неисправность, это означает, что газоанализатор не подключён либо контактный провод газоанализатора имеет плохой контакт.</w:t>
      </w:r>
    </w:p>
    <w:p w14:paraId="0199E52D">
      <w:pPr>
        <w:ind w:firstLine="480"/>
      </w:pPr>
      <w:r>
        <w:rPr>
          <w:rFonts w:hint="eastAsia"/>
        </w:rPr>
        <w:t>После подключения газоанализатора газоанализатор показывает норму, но контроллер показывает неисправность — это означает неисправность выходного сигнала газоанализатора. Проверьте, нормален ли выходной токовый сигнал газоанализатора.</w:t>
      </w:r>
    </w:p>
    <w:p w14:paraId="3DCC2115">
      <w:pPr>
        <w:pStyle w:val="2"/>
        <w:numPr>
          <w:ilvl w:val="0"/>
          <w:numId w:val="1"/>
        </w:numPr>
        <w:spacing w:beforeLines="30" w:afterLines="30" w:line="288" w:lineRule="auto"/>
        <w:jc w:val="left"/>
        <w:rPr>
          <w:kern w:val="2"/>
          <w:sz w:val="28"/>
          <w:szCs w:val="28"/>
          <w:lang w:val="zh-CN"/>
        </w:rPr>
      </w:pPr>
      <w:r>
        <w:rPr>
          <w:rFonts w:hint="eastAsia"/>
          <w:kern w:val="2"/>
          <w:sz w:val="28"/>
          <w:szCs w:val="28"/>
          <w:lang w:val="zh-CN"/>
        </w:rPr>
        <w:t>Типичные неисправности и способы их устранения</w:t>
      </w:r>
    </w:p>
    <w:p w14:paraId="7258BB99"/>
    <w:p w14:paraId="2F0C148A">
      <w:pPr>
        <w:ind w:firstLine="480"/>
      </w:pPr>
      <w:r>
        <w:rPr>
          <w:rFonts w:hint="eastAsia"/>
        </w:rPr>
        <w:t>1. Система не реагирует после включения питания. Проверьте, подано ли питание на систему и горит ли индикатор на импульсном блоке питания.</w:t>
      </w:r>
    </w:p>
    <w:p w14:paraId="48780328">
      <w:pPr>
        <w:ind w:firstLine="480"/>
      </w:pPr>
      <w:r>
        <w:rPr>
          <w:rFonts w:hint="eastAsia"/>
        </w:rPr>
        <w:t>2. Если при запуске отображается неисправность, это означает, что газоанализатор не подключён либо контактный провод газоанализатора имеет плохой контакт.</w:t>
      </w:r>
    </w:p>
    <w:p w14:paraId="7BA09F00">
      <w:pPr>
        <w:ind w:firstLine="480"/>
        <w:rPr>
          <w:rFonts w:ascii="微软雅黑" w:hAnsi="微软雅黑" w:eastAsia="微软雅黑" w:cs="微软雅黑"/>
          <w:sz w:val="18"/>
          <w:szCs w:val="18"/>
        </w:rPr>
      </w:pPr>
      <w:r>
        <w:rPr>
          <w:rFonts w:hint="eastAsia"/>
        </w:rPr>
        <w:t>3. После подключения газоанализатора газоанализатор показывает норму, но контроллер показывает неисправность — это означает неисправность выходного сигнала газоанализатора. Проверьте, нормален ли выходной токовый сигнал газоанализатора.</w:t>
      </w:r>
    </w:p>
    <w:p w14:paraId="70F5291E">
      <w:pPr>
        <w:pStyle w:val="2"/>
        <w:numPr>
          <w:ilvl w:val="0"/>
          <w:numId w:val="1"/>
        </w:numPr>
        <w:spacing w:beforeLines="30" w:afterLines="30" w:line="288" w:lineRule="auto"/>
        <w:jc w:val="left"/>
        <w:rPr>
          <w:kern w:val="2"/>
          <w:sz w:val="28"/>
          <w:szCs w:val="28"/>
          <w:lang w:val="zh-CN"/>
        </w:rPr>
      </w:pPr>
      <w:r>
        <w:rPr>
          <w:rFonts w:hint="eastAsia"/>
          <w:kern w:val="2"/>
          <w:sz w:val="28"/>
          <w:szCs w:val="28"/>
          <w:lang w:val="zh-CN"/>
        </w:rPr>
        <w:t>Гарантия и техническое обслуживание</w:t>
      </w:r>
    </w:p>
    <w:p w14:paraId="4081B903">
      <w:pPr>
        <w:ind w:firstLine="480"/>
      </w:pPr>
      <w:r>
        <w:rPr>
          <w:rFonts w:hint="eastAsia"/>
        </w:rPr>
        <w:t>(1) Гарантийный срок на данное изделие составляет один год; при неисправности в условиях нормальной эксплуатации предоставляются бесплатный заводской ремонт и обслуживание. Повреждения, вызванные человеческим фактором, стихийными бедствиями и неправильной эксплуатацией, не покрываются гарантией.</w:t>
      </w:r>
    </w:p>
    <w:p w14:paraId="0C92C382">
      <w:pPr>
        <w:ind w:firstLine="480"/>
      </w:pPr>
      <w:r>
        <w:rPr>
          <w:rFonts w:hint="eastAsia"/>
        </w:rPr>
        <w:t>(2) Если пользователь не может устранить неисправность, отправьте изделие в нашу компанию для обслуживания; мы устраним неисправность и вернём изделие пользователю в кратчайшие сроки.</w:t>
      </w:r>
    </w:p>
    <w:p w14:paraId="51EB1074">
      <w:pPr>
        <w:ind w:firstLine="480"/>
        <w:rPr>
          <w:color w:val="000000"/>
        </w:rPr>
      </w:pPr>
      <w:r>
        <w:rPr>
          <w:rFonts w:hint="eastAsia"/>
        </w:rPr>
        <w:t>(3) Если проблему не удаётся решить, а также при дрейфе нуля после длительной эксплуатации и других проблемах обратитесь в компанию; компания предложит решения в соответствии с конкретной ситуацией.</w:t>
      </w:r>
    </w:p>
    <w:p w14:paraId="1F70F776">
      <w:pPr>
        <w:pStyle w:val="2"/>
        <w:numPr>
          <w:ilvl w:val="0"/>
          <w:numId w:val="1"/>
        </w:numPr>
        <w:spacing w:beforeLines="30" w:afterLines="30" w:line="288" w:lineRule="auto"/>
        <w:jc w:val="left"/>
        <w:rPr>
          <w:kern w:val="2"/>
          <w:sz w:val="28"/>
          <w:szCs w:val="28"/>
          <w:lang w:val="zh-CN"/>
        </w:rPr>
      </w:pPr>
      <w:r>
        <w:rPr>
          <w:rFonts w:hint="eastAsia"/>
          <w:kern w:val="2"/>
          <w:sz w:val="28"/>
          <w:szCs w:val="28"/>
          <w:lang w:val="zh-CN"/>
        </w:rPr>
        <w:t>Хранение</w:t>
      </w:r>
    </w:p>
    <w:p w14:paraId="6F3DB745">
      <w:pPr>
        <w:ind w:firstLine="480"/>
        <w:rPr>
          <w:b/>
          <w:bCs/>
          <w:sz w:val="28"/>
          <w:szCs w:val="28"/>
          <w:lang w:val="zh-CN"/>
        </w:rPr>
      </w:pPr>
      <w:r>
        <w:rPr>
          <w:rFonts w:hint="eastAsia"/>
          <w:color w:val="000000"/>
        </w:rPr>
        <w:t>Контроллер должен храниться в вентилируемом помещении, где температура окружающей среды составляет 0℃～55℃, относительная влажность не превышает 85%, а воздух не должен содержать вредных газов или примесей, вызывающих коррозию контроллера.</w:t>
      </w:r>
      <w:r>
        <w:rPr>
          <w:rFonts w:hint="eastAsia" w:hAnsi="宋体"/>
          <w:color w:val="000000"/>
        </w:rPr>
        <w:t/>
      </w:r>
      <w:r>
        <w:rPr>
          <w:rFonts w:hint="eastAsia"/>
          <w:color w:val="000000"/>
        </w:rPr>
        <w:t/>
      </w:r>
      <w:r>
        <w:rPr>
          <w:rFonts w:hint="eastAsia" w:hAnsi="宋体"/>
          <w:color w:val="000000"/>
        </w:rPr>
        <w:t/>
      </w:r>
      <w:r>
        <w:rPr>
          <w:rFonts w:hint="eastAsia"/>
          <w:color w:val="000000"/>
        </w:rPr>
        <w:t/>
      </w:r>
    </w:p>
    <w:p w14:paraId="48178E5D">
      <w:pPr>
        <w:pStyle w:val="2"/>
        <w:numPr>
          <w:ilvl w:val="0"/>
          <w:numId w:val="1"/>
        </w:numPr>
        <w:spacing w:before="93" w:after="93"/>
        <w:rPr>
          <w:kern w:val="2"/>
          <w:sz w:val="28"/>
          <w:szCs w:val="28"/>
          <w:lang w:val="zh-CN"/>
        </w:rPr>
      </w:pPr>
      <w:r>
        <w:rPr>
          <w:rFonts w:hint="eastAsia"/>
          <w:kern w:val="2"/>
          <w:sz w:val="28"/>
          <w:szCs w:val="28"/>
          <w:lang w:val="zh-CN"/>
        </w:rPr>
        <w:t>Аксессуары и прочее</w:t>
      </w:r>
    </w:p>
    <w:p w14:paraId="70BD700B">
      <w:pPr>
        <w:ind w:firstLine="480"/>
        <w:rPr>
          <w:color w:val="000000"/>
        </w:rPr>
      </w:pPr>
      <w:r>
        <w:rPr>
          <w:rFonts w:hint="eastAsia"/>
          <w:color w:val="000000"/>
        </w:rPr>
        <w:t>В комплект контроллера входят: одна картонная коробка, один контроллер, одно руководство, один гарантийный талон, одна монтажная пластина, один пакет монтажных аксессуаров для влагозащитных соединений и два ключа. Перед отправкой с завода контроллер прошёл проверку и получил сертификат. При повреждении во время транспортировки производитель несёт ответственность за замену.</w:t>
      </w:r>
    </w:p>
    <w:p w14:paraId="7EA763C9">
      <w:pPr>
        <w:ind w:firstLine="420"/>
        <w:rPr>
          <w:color w:val="000000"/>
        </w:rPr>
      </w:pPr>
    </w:p>
    <w:p w14:paraId="19BE04DA">
      <w:pPr>
        <w:pStyle w:val="21"/>
        <w:ind w:firstLine="420"/>
        <w:rPr>
          <w:rFonts w:ascii="微软雅黑" w:hAnsi="微软雅黑" w:eastAsia="微软雅黑" w:cs="微软雅黑"/>
          <w:szCs w:val="21"/>
        </w:rPr>
      </w:pPr>
    </w:p>
    <w:p w14:paraId="029CA0F8">
      <w:pPr>
        <w:rPr>
          <w:rFonts w:ascii="微软雅黑" w:hAnsi="微软雅黑" w:eastAsia="微软雅黑" w:cs="微软雅黑"/>
          <w:szCs w:val="21"/>
        </w:rPr>
      </w:pPr>
    </w:p>
    <w:p w14:paraId="67083D85">
      <w:pPr>
        <w:ind w:firstLine="315" w:firstLineChars="150"/>
        <w:rPr>
          <w:rFonts w:ascii="微软雅黑" w:hAnsi="微软雅黑" w:eastAsia="微软雅黑" w:cs="微软雅黑"/>
          <w:szCs w:val="21"/>
        </w:rPr>
      </w:pPr>
    </w:p>
    <w:sectPr>
      <w:headerReference r:id="rId5" w:type="default"/>
      <w:footerReference r:id="rId6" w:type="default"/>
      <w:pgSz w:w="8419" w:h="11906" w:orient="landscape"/>
      <w:pgMar w:top="283" w:right="1134" w:bottom="283" w:left="1134" w:header="851" w:footer="1077" w:gutter="0"/>
      <w:pgNumType w:start="1"/>
      <w:cols w:space="720" w:num="1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BD53BD">
    <w:pPr>
      <w:pStyle w:val="5"/>
      <w:ind w:firstLine="420"/>
      <w:jc w:val="center"/>
      <w:rPr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348695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1FA727B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heFP180BAACo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FA727B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27B1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812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87A673"/>
    <w:multiLevelType w:val="singleLevel"/>
    <w:tmpl w:val="C887A67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60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yOWJhODkyY2M2ZTYwNjk2MjFlNzBhYzU3NzFlM2UifQ=="/>
  </w:docVars>
  <w:rsids>
    <w:rsidRoot w:val="006E3F2E"/>
    <w:rsid w:val="00007344"/>
    <w:rsid w:val="000119CD"/>
    <w:rsid w:val="00011F88"/>
    <w:rsid w:val="00012DFB"/>
    <w:rsid w:val="00013336"/>
    <w:rsid w:val="0001634F"/>
    <w:rsid w:val="00017FAF"/>
    <w:rsid w:val="00025283"/>
    <w:rsid w:val="00026736"/>
    <w:rsid w:val="000304BF"/>
    <w:rsid w:val="00033AA6"/>
    <w:rsid w:val="0003626A"/>
    <w:rsid w:val="000401AA"/>
    <w:rsid w:val="0004647D"/>
    <w:rsid w:val="00047D57"/>
    <w:rsid w:val="000602FA"/>
    <w:rsid w:val="000735CE"/>
    <w:rsid w:val="0007690E"/>
    <w:rsid w:val="0008558E"/>
    <w:rsid w:val="0009142B"/>
    <w:rsid w:val="00093030"/>
    <w:rsid w:val="00095152"/>
    <w:rsid w:val="000B001D"/>
    <w:rsid w:val="000B04E5"/>
    <w:rsid w:val="000B069D"/>
    <w:rsid w:val="000B5B27"/>
    <w:rsid w:val="000C23CB"/>
    <w:rsid w:val="000C45CC"/>
    <w:rsid w:val="000C4C3D"/>
    <w:rsid w:val="000D085D"/>
    <w:rsid w:val="000D36A4"/>
    <w:rsid w:val="000E154C"/>
    <w:rsid w:val="000E2B79"/>
    <w:rsid w:val="000F3BB4"/>
    <w:rsid w:val="000F5CCE"/>
    <w:rsid w:val="00113995"/>
    <w:rsid w:val="00114D7A"/>
    <w:rsid w:val="00117297"/>
    <w:rsid w:val="00120E07"/>
    <w:rsid w:val="00125BBD"/>
    <w:rsid w:val="00131EB2"/>
    <w:rsid w:val="00133793"/>
    <w:rsid w:val="00136D62"/>
    <w:rsid w:val="001447F6"/>
    <w:rsid w:val="00146397"/>
    <w:rsid w:val="00146891"/>
    <w:rsid w:val="00147622"/>
    <w:rsid w:val="001732D6"/>
    <w:rsid w:val="0018168B"/>
    <w:rsid w:val="0018245C"/>
    <w:rsid w:val="0019240F"/>
    <w:rsid w:val="001A00A2"/>
    <w:rsid w:val="001A0999"/>
    <w:rsid w:val="001A653B"/>
    <w:rsid w:val="001B3750"/>
    <w:rsid w:val="001B38BB"/>
    <w:rsid w:val="001C4F8A"/>
    <w:rsid w:val="001C5DF2"/>
    <w:rsid w:val="001D6C8F"/>
    <w:rsid w:val="001E0BD7"/>
    <w:rsid w:val="001E4306"/>
    <w:rsid w:val="001F22F7"/>
    <w:rsid w:val="001F64CA"/>
    <w:rsid w:val="00201C99"/>
    <w:rsid w:val="002033EB"/>
    <w:rsid w:val="00206A23"/>
    <w:rsid w:val="0021210A"/>
    <w:rsid w:val="00214B9F"/>
    <w:rsid w:val="0021555D"/>
    <w:rsid w:val="002261AA"/>
    <w:rsid w:val="00243165"/>
    <w:rsid w:val="002557D0"/>
    <w:rsid w:val="00255BA8"/>
    <w:rsid w:val="00262A08"/>
    <w:rsid w:val="00270FF2"/>
    <w:rsid w:val="002718A3"/>
    <w:rsid w:val="00271900"/>
    <w:rsid w:val="00273111"/>
    <w:rsid w:val="00277126"/>
    <w:rsid w:val="002917FD"/>
    <w:rsid w:val="00292391"/>
    <w:rsid w:val="00293002"/>
    <w:rsid w:val="00297716"/>
    <w:rsid w:val="002B25CB"/>
    <w:rsid w:val="002B39FC"/>
    <w:rsid w:val="002B51B8"/>
    <w:rsid w:val="002C57EC"/>
    <w:rsid w:val="002D2093"/>
    <w:rsid w:val="002D4A67"/>
    <w:rsid w:val="002D548E"/>
    <w:rsid w:val="002E428D"/>
    <w:rsid w:val="002E43AE"/>
    <w:rsid w:val="002E5522"/>
    <w:rsid w:val="002E7D5B"/>
    <w:rsid w:val="00307670"/>
    <w:rsid w:val="00317504"/>
    <w:rsid w:val="003274A9"/>
    <w:rsid w:val="003319B6"/>
    <w:rsid w:val="0033795B"/>
    <w:rsid w:val="00350C5A"/>
    <w:rsid w:val="003514F2"/>
    <w:rsid w:val="003637E3"/>
    <w:rsid w:val="00364735"/>
    <w:rsid w:val="00365F74"/>
    <w:rsid w:val="00371E30"/>
    <w:rsid w:val="00381C3C"/>
    <w:rsid w:val="00390D42"/>
    <w:rsid w:val="003950B4"/>
    <w:rsid w:val="003A4E1E"/>
    <w:rsid w:val="003A6526"/>
    <w:rsid w:val="003A7A41"/>
    <w:rsid w:val="003B24F1"/>
    <w:rsid w:val="003B7D56"/>
    <w:rsid w:val="003C4249"/>
    <w:rsid w:val="003D0028"/>
    <w:rsid w:val="003D4FF4"/>
    <w:rsid w:val="003E6A07"/>
    <w:rsid w:val="003F49D2"/>
    <w:rsid w:val="00400323"/>
    <w:rsid w:val="004042F5"/>
    <w:rsid w:val="0041313A"/>
    <w:rsid w:val="00413978"/>
    <w:rsid w:val="0041757E"/>
    <w:rsid w:val="0043725D"/>
    <w:rsid w:val="004608E8"/>
    <w:rsid w:val="00461CF3"/>
    <w:rsid w:val="00464A18"/>
    <w:rsid w:val="0046646B"/>
    <w:rsid w:val="00466C4A"/>
    <w:rsid w:val="004674E9"/>
    <w:rsid w:val="00471FAD"/>
    <w:rsid w:val="0047785D"/>
    <w:rsid w:val="00481D67"/>
    <w:rsid w:val="0048617A"/>
    <w:rsid w:val="00487543"/>
    <w:rsid w:val="0049013D"/>
    <w:rsid w:val="00493E6E"/>
    <w:rsid w:val="0049794B"/>
    <w:rsid w:val="004A30D0"/>
    <w:rsid w:val="004A6A1C"/>
    <w:rsid w:val="004A720C"/>
    <w:rsid w:val="004B28F7"/>
    <w:rsid w:val="004B46C4"/>
    <w:rsid w:val="004C0199"/>
    <w:rsid w:val="004D5914"/>
    <w:rsid w:val="004D678D"/>
    <w:rsid w:val="004E162D"/>
    <w:rsid w:val="004E3787"/>
    <w:rsid w:val="004E54FD"/>
    <w:rsid w:val="004E79B9"/>
    <w:rsid w:val="00501F72"/>
    <w:rsid w:val="005023AF"/>
    <w:rsid w:val="00505777"/>
    <w:rsid w:val="00505B21"/>
    <w:rsid w:val="005147DE"/>
    <w:rsid w:val="00514BFF"/>
    <w:rsid w:val="00516CD6"/>
    <w:rsid w:val="00541B8D"/>
    <w:rsid w:val="005472BF"/>
    <w:rsid w:val="00551ACD"/>
    <w:rsid w:val="00551C53"/>
    <w:rsid w:val="00556274"/>
    <w:rsid w:val="00560171"/>
    <w:rsid w:val="00570A75"/>
    <w:rsid w:val="00581413"/>
    <w:rsid w:val="0058699D"/>
    <w:rsid w:val="005871D5"/>
    <w:rsid w:val="00590AA3"/>
    <w:rsid w:val="005929C7"/>
    <w:rsid w:val="00595CAF"/>
    <w:rsid w:val="00595F62"/>
    <w:rsid w:val="005A5DEE"/>
    <w:rsid w:val="005B1A28"/>
    <w:rsid w:val="005B54BE"/>
    <w:rsid w:val="005C6E05"/>
    <w:rsid w:val="005D4B50"/>
    <w:rsid w:val="005D5476"/>
    <w:rsid w:val="005D6124"/>
    <w:rsid w:val="005D7B8A"/>
    <w:rsid w:val="005E59B9"/>
    <w:rsid w:val="005E7F82"/>
    <w:rsid w:val="005F1751"/>
    <w:rsid w:val="005F7390"/>
    <w:rsid w:val="006020DD"/>
    <w:rsid w:val="00604CAF"/>
    <w:rsid w:val="006100F3"/>
    <w:rsid w:val="00632DDF"/>
    <w:rsid w:val="00632F13"/>
    <w:rsid w:val="0064564F"/>
    <w:rsid w:val="00655CB9"/>
    <w:rsid w:val="00657C00"/>
    <w:rsid w:val="006615D9"/>
    <w:rsid w:val="006621C4"/>
    <w:rsid w:val="00671EEF"/>
    <w:rsid w:val="0067541A"/>
    <w:rsid w:val="006833C9"/>
    <w:rsid w:val="006A12E2"/>
    <w:rsid w:val="006A32FE"/>
    <w:rsid w:val="006A4748"/>
    <w:rsid w:val="006B40B2"/>
    <w:rsid w:val="006B4438"/>
    <w:rsid w:val="006B79B1"/>
    <w:rsid w:val="006D34A6"/>
    <w:rsid w:val="006D5F66"/>
    <w:rsid w:val="006D7196"/>
    <w:rsid w:val="006E3F2E"/>
    <w:rsid w:val="006E6B67"/>
    <w:rsid w:val="006F54A1"/>
    <w:rsid w:val="006F7D96"/>
    <w:rsid w:val="00701A06"/>
    <w:rsid w:val="0072214C"/>
    <w:rsid w:val="0072669D"/>
    <w:rsid w:val="00727CC1"/>
    <w:rsid w:val="0073072F"/>
    <w:rsid w:val="00732D45"/>
    <w:rsid w:val="0073716C"/>
    <w:rsid w:val="00746743"/>
    <w:rsid w:val="00750186"/>
    <w:rsid w:val="00750905"/>
    <w:rsid w:val="00751488"/>
    <w:rsid w:val="0077050A"/>
    <w:rsid w:val="007762EF"/>
    <w:rsid w:val="00776FDA"/>
    <w:rsid w:val="007839FF"/>
    <w:rsid w:val="00784F6E"/>
    <w:rsid w:val="00793BB1"/>
    <w:rsid w:val="007A18D3"/>
    <w:rsid w:val="007B404C"/>
    <w:rsid w:val="007C0243"/>
    <w:rsid w:val="007C468F"/>
    <w:rsid w:val="007E6355"/>
    <w:rsid w:val="008060A7"/>
    <w:rsid w:val="00850717"/>
    <w:rsid w:val="00851F6C"/>
    <w:rsid w:val="00854DFD"/>
    <w:rsid w:val="008647AE"/>
    <w:rsid w:val="00870A24"/>
    <w:rsid w:val="0088274F"/>
    <w:rsid w:val="008955BA"/>
    <w:rsid w:val="00896F28"/>
    <w:rsid w:val="008A1224"/>
    <w:rsid w:val="008B10CE"/>
    <w:rsid w:val="008C2750"/>
    <w:rsid w:val="008D4B4E"/>
    <w:rsid w:val="008E02B8"/>
    <w:rsid w:val="008E1526"/>
    <w:rsid w:val="008E6051"/>
    <w:rsid w:val="008E7CA2"/>
    <w:rsid w:val="00904C57"/>
    <w:rsid w:val="00917E04"/>
    <w:rsid w:val="00934BB6"/>
    <w:rsid w:val="00942154"/>
    <w:rsid w:val="00946BC3"/>
    <w:rsid w:val="00950D7F"/>
    <w:rsid w:val="00956949"/>
    <w:rsid w:val="00966D5B"/>
    <w:rsid w:val="00973424"/>
    <w:rsid w:val="009819F7"/>
    <w:rsid w:val="00982E2E"/>
    <w:rsid w:val="0098415A"/>
    <w:rsid w:val="00985F9B"/>
    <w:rsid w:val="00990B3A"/>
    <w:rsid w:val="00991CFA"/>
    <w:rsid w:val="009923C0"/>
    <w:rsid w:val="0099509A"/>
    <w:rsid w:val="009B68D9"/>
    <w:rsid w:val="009C584B"/>
    <w:rsid w:val="009C67DF"/>
    <w:rsid w:val="009D191B"/>
    <w:rsid w:val="009D6721"/>
    <w:rsid w:val="009E13F7"/>
    <w:rsid w:val="009E4F2C"/>
    <w:rsid w:val="009E5F4C"/>
    <w:rsid w:val="009F0E27"/>
    <w:rsid w:val="009F71C4"/>
    <w:rsid w:val="00A01911"/>
    <w:rsid w:val="00A030C8"/>
    <w:rsid w:val="00A068CA"/>
    <w:rsid w:val="00A21936"/>
    <w:rsid w:val="00A31489"/>
    <w:rsid w:val="00A31909"/>
    <w:rsid w:val="00A325D7"/>
    <w:rsid w:val="00A450AB"/>
    <w:rsid w:val="00A51E7A"/>
    <w:rsid w:val="00A6083B"/>
    <w:rsid w:val="00A67AC9"/>
    <w:rsid w:val="00A70F8A"/>
    <w:rsid w:val="00A80F64"/>
    <w:rsid w:val="00A92265"/>
    <w:rsid w:val="00A92FB0"/>
    <w:rsid w:val="00A94BD5"/>
    <w:rsid w:val="00AA2EA2"/>
    <w:rsid w:val="00AB1855"/>
    <w:rsid w:val="00AB3EFD"/>
    <w:rsid w:val="00AC1380"/>
    <w:rsid w:val="00AC593C"/>
    <w:rsid w:val="00AD0BA6"/>
    <w:rsid w:val="00AD153B"/>
    <w:rsid w:val="00AE2782"/>
    <w:rsid w:val="00AE2A5B"/>
    <w:rsid w:val="00AE5389"/>
    <w:rsid w:val="00AF0537"/>
    <w:rsid w:val="00AF51C0"/>
    <w:rsid w:val="00AF58D9"/>
    <w:rsid w:val="00B022FF"/>
    <w:rsid w:val="00B0362E"/>
    <w:rsid w:val="00B05CF3"/>
    <w:rsid w:val="00B07E83"/>
    <w:rsid w:val="00B246E0"/>
    <w:rsid w:val="00B335C2"/>
    <w:rsid w:val="00B3622A"/>
    <w:rsid w:val="00B40310"/>
    <w:rsid w:val="00B41BAC"/>
    <w:rsid w:val="00B558EF"/>
    <w:rsid w:val="00B60440"/>
    <w:rsid w:val="00B65AB9"/>
    <w:rsid w:val="00B65B79"/>
    <w:rsid w:val="00B745E2"/>
    <w:rsid w:val="00B75994"/>
    <w:rsid w:val="00B8444B"/>
    <w:rsid w:val="00B85C3F"/>
    <w:rsid w:val="00B86AEC"/>
    <w:rsid w:val="00B875BE"/>
    <w:rsid w:val="00B876D5"/>
    <w:rsid w:val="00BA308A"/>
    <w:rsid w:val="00BB23A1"/>
    <w:rsid w:val="00BB5E0B"/>
    <w:rsid w:val="00BC7F14"/>
    <w:rsid w:val="00BE27A5"/>
    <w:rsid w:val="00BE349A"/>
    <w:rsid w:val="00BE5617"/>
    <w:rsid w:val="00BE60DD"/>
    <w:rsid w:val="00C0107B"/>
    <w:rsid w:val="00C02702"/>
    <w:rsid w:val="00C072EE"/>
    <w:rsid w:val="00C15190"/>
    <w:rsid w:val="00C219DF"/>
    <w:rsid w:val="00C300EB"/>
    <w:rsid w:val="00C319B8"/>
    <w:rsid w:val="00C34870"/>
    <w:rsid w:val="00C41F52"/>
    <w:rsid w:val="00C509C3"/>
    <w:rsid w:val="00C51E33"/>
    <w:rsid w:val="00C56763"/>
    <w:rsid w:val="00C6244D"/>
    <w:rsid w:val="00C7104E"/>
    <w:rsid w:val="00C72964"/>
    <w:rsid w:val="00C73FCF"/>
    <w:rsid w:val="00C74DF9"/>
    <w:rsid w:val="00C82E85"/>
    <w:rsid w:val="00C835F3"/>
    <w:rsid w:val="00C8479C"/>
    <w:rsid w:val="00C87D36"/>
    <w:rsid w:val="00C97AA4"/>
    <w:rsid w:val="00CB2346"/>
    <w:rsid w:val="00CB39D0"/>
    <w:rsid w:val="00CB7A8E"/>
    <w:rsid w:val="00CC146F"/>
    <w:rsid w:val="00CC4B47"/>
    <w:rsid w:val="00CC5BC5"/>
    <w:rsid w:val="00CE4847"/>
    <w:rsid w:val="00CF226A"/>
    <w:rsid w:val="00CF4EB7"/>
    <w:rsid w:val="00D01C04"/>
    <w:rsid w:val="00D048B2"/>
    <w:rsid w:val="00D1244D"/>
    <w:rsid w:val="00D14865"/>
    <w:rsid w:val="00D20E92"/>
    <w:rsid w:val="00D233D7"/>
    <w:rsid w:val="00D26370"/>
    <w:rsid w:val="00D27D96"/>
    <w:rsid w:val="00D366BD"/>
    <w:rsid w:val="00D4563A"/>
    <w:rsid w:val="00D5228A"/>
    <w:rsid w:val="00D560FB"/>
    <w:rsid w:val="00D62300"/>
    <w:rsid w:val="00D671B3"/>
    <w:rsid w:val="00D6744F"/>
    <w:rsid w:val="00D75AAE"/>
    <w:rsid w:val="00D7681A"/>
    <w:rsid w:val="00D76A8C"/>
    <w:rsid w:val="00D8322A"/>
    <w:rsid w:val="00D856BB"/>
    <w:rsid w:val="00D91EDB"/>
    <w:rsid w:val="00D921D0"/>
    <w:rsid w:val="00D9311D"/>
    <w:rsid w:val="00D940A5"/>
    <w:rsid w:val="00DA71F8"/>
    <w:rsid w:val="00DB5168"/>
    <w:rsid w:val="00DD01A8"/>
    <w:rsid w:val="00DD54BE"/>
    <w:rsid w:val="00DD65D0"/>
    <w:rsid w:val="00DD6AC3"/>
    <w:rsid w:val="00DD78A7"/>
    <w:rsid w:val="00DF11D8"/>
    <w:rsid w:val="00DF12B2"/>
    <w:rsid w:val="00DF2A8E"/>
    <w:rsid w:val="00E04C0F"/>
    <w:rsid w:val="00E07BEA"/>
    <w:rsid w:val="00E14FF7"/>
    <w:rsid w:val="00E206CD"/>
    <w:rsid w:val="00E2103F"/>
    <w:rsid w:val="00E22715"/>
    <w:rsid w:val="00E30F25"/>
    <w:rsid w:val="00E34707"/>
    <w:rsid w:val="00E35DE6"/>
    <w:rsid w:val="00E36ED3"/>
    <w:rsid w:val="00E412A9"/>
    <w:rsid w:val="00E50456"/>
    <w:rsid w:val="00E55C5F"/>
    <w:rsid w:val="00E60B35"/>
    <w:rsid w:val="00E62453"/>
    <w:rsid w:val="00E65ED7"/>
    <w:rsid w:val="00E73398"/>
    <w:rsid w:val="00E858BF"/>
    <w:rsid w:val="00E8772B"/>
    <w:rsid w:val="00E929AE"/>
    <w:rsid w:val="00E94647"/>
    <w:rsid w:val="00E95A0F"/>
    <w:rsid w:val="00EA0CEA"/>
    <w:rsid w:val="00EA2768"/>
    <w:rsid w:val="00EC6A06"/>
    <w:rsid w:val="00ED0B49"/>
    <w:rsid w:val="00EE5800"/>
    <w:rsid w:val="00EE5C69"/>
    <w:rsid w:val="00EF1C1C"/>
    <w:rsid w:val="00F03B35"/>
    <w:rsid w:val="00F05602"/>
    <w:rsid w:val="00F0663D"/>
    <w:rsid w:val="00F076DF"/>
    <w:rsid w:val="00F11160"/>
    <w:rsid w:val="00F11E08"/>
    <w:rsid w:val="00F12DBC"/>
    <w:rsid w:val="00F247A0"/>
    <w:rsid w:val="00F65AD5"/>
    <w:rsid w:val="00F73105"/>
    <w:rsid w:val="00F80F95"/>
    <w:rsid w:val="00F81012"/>
    <w:rsid w:val="00F925C2"/>
    <w:rsid w:val="00F93EB6"/>
    <w:rsid w:val="00F944E1"/>
    <w:rsid w:val="00F94E3D"/>
    <w:rsid w:val="00F97B58"/>
    <w:rsid w:val="00FA2194"/>
    <w:rsid w:val="00FA36AB"/>
    <w:rsid w:val="00FA395E"/>
    <w:rsid w:val="00FA44F5"/>
    <w:rsid w:val="00FA52DC"/>
    <w:rsid w:val="00FB4D65"/>
    <w:rsid w:val="00FC0DE4"/>
    <w:rsid w:val="00FD0CB0"/>
    <w:rsid w:val="00FE130F"/>
    <w:rsid w:val="00FE3A1A"/>
    <w:rsid w:val="00FF0A9A"/>
    <w:rsid w:val="0A8F20BC"/>
    <w:rsid w:val="0FB2290A"/>
    <w:rsid w:val="15DB335B"/>
    <w:rsid w:val="182439E1"/>
    <w:rsid w:val="1E032A6F"/>
    <w:rsid w:val="25EF7CD0"/>
    <w:rsid w:val="289D21A2"/>
    <w:rsid w:val="2A2266DC"/>
    <w:rsid w:val="3BCA6318"/>
    <w:rsid w:val="3E5A7B80"/>
    <w:rsid w:val="48180C6B"/>
    <w:rsid w:val="4C501CDD"/>
    <w:rsid w:val="66777C47"/>
    <w:rsid w:val="777001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</w:style>
  <w:style w:type="paragraph" w:styleId="8">
    <w:name w:val="toc 2"/>
    <w:basedOn w:val="1"/>
    <w:next w:val="1"/>
    <w:qFormat/>
    <w:uiPriority w:val="39"/>
    <w:pPr>
      <w:ind w:left="420" w:leftChars="200"/>
    </w:pPr>
  </w:style>
  <w:style w:type="paragraph" w:styleId="9">
    <w:name w:val="Title"/>
    <w:basedOn w:val="1"/>
    <w:link w:val="19"/>
    <w:qFormat/>
    <w:uiPriority w:val="0"/>
    <w:pPr>
      <w:jc w:val="center"/>
    </w:pPr>
    <w:rPr>
      <w:sz w:val="32"/>
      <w:szCs w:val="20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qFormat/>
    <w:uiPriority w:val="99"/>
    <w:rPr>
      <w:color w:val="0000FF"/>
      <w:u w:val="single"/>
    </w:rPr>
  </w:style>
  <w:style w:type="character" w:customStyle="1" w:styleId="14">
    <w:name w:val="标题 1 Char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5">
    <w:name w:val="标题 2 Char"/>
    <w:link w:val="3"/>
    <w:semiHidden/>
    <w:qFormat/>
    <w:uiPriority w:val="0"/>
    <w:rPr>
      <w:rFonts w:ascii="Calibri Light" w:hAnsi="Calibri Light" w:eastAsia="宋体" w:cs="Times New Roman"/>
      <w:b/>
      <w:bCs/>
      <w:kern w:val="2"/>
      <w:sz w:val="32"/>
      <w:szCs w:val="32"/>
    </w:rPr>
  </w:style>
  <w:style w:type="character" w:customStyle="1" w:styleId="16">
    <w:name w:val="批注框文本 Char"/>
    <w:link w:val="4"/>
    <w:qFormat/>
    <w:uiPriority w:val="0"/>
    <w:rPr>
      <w:kern w:val="2"/>
      <w:sz w:val="18"/>
      <w:szCs w:val="18"/>
    </w:rPr>
  </w:style>
  <w:style w:type="character" w:customStyle="1" w:styleId="17">
    <w:name w:val="页脚 Char"/>
    <w:link w:val="5"/>
    <w:qFormat/>
    <w:uiPriority w:val="99"/>
    <w:rPr>
      <w:kern w:val="2"/>
      <w:sz w:val="18"/>
      <w:szCs w:val="18"/>
    </w:rPr>
  </w:style>
  <w:style w:type="character" w:customStyle="1" w:styleId="18">
    <w:name w:val="页眉 Char"/>
    <w:link w:val="6"/>
    <w:qFormat/>
    <w:uiPriority w:val="99"/>
    <w:rPr>
      <w:kern w:val="2"/>
      <w:sz w:val="18"/>
      <w:szCs w:val="18"/>
    </w:rPr>
  </w:style>
  <w:style w:type="character" w:customStyle="1" w:styleId="19">
    <w:name w:val="标题 Char"/>
    <w:link w:val="9"/>
    <w:qFormat/>
    <w:uiPriority w:val="0"/>
    <w:rPr>
      <w:kern w:val="2"/>
      <w:sz w:val="32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2">
    <w:name w:val="样式 标题 1 + 宋体 四号"/>
    <w:basedOn w:val="2"/>
    <w:qFormat/>
    <w:uiPriority w:val="0"/>
    <w:pPr>
      <w:spacing w:before="120" w:after="120" w:line="240" w:lineRule="auto"/>
    </w:pPr>
    <w:rPr>
      <w:rFonts w:ascii="宋体" w:hAnsi="宋体"/>
      <w:sz w:val="28"/>
      <w:szCs w:val="28"/>
    </w:rPr>
  </w:style>
  <w:style w:type="paragraph" w:customStyle="1" w:styleId="23">
    <w:name w:val="样式 标题 1 + 黑体 四号 非加粗"/>
    <w:basedOn w:val="2"/>
    <w:qFormat/>
    <w:uiPriority w:val="0"/>
    <w:pPr>
      <w:spacing w:before="120" w:after="120" w:line="240" w:lineRule="auto"/>
    </w:pPr>
    <w:rPr>
      <w:rFonts w:ascii="黑体" w:hAnsi="黑体" w:eastAsia="黑体"/>
      <w:b w:val="0"/>
      <w:bCs w:val="0"/>
      <w:sz w:val="28"/>
      <w:szCs w:val="28"/>
    </w:rPr>
  </w:style>
  <w:style w:type="paragraph" w:styleId="24">
    <w:name w:val="No Spacing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">
    <w:name w:val="_Style 24"/>
    <w:basedOn w:val="2"/>
    <w:next w:val="1"/>
    <w:qFormat/>
    <w:uiPriority w:val="39"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paragraph" w:customStyle="1" w:styleId="26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信念技术论坛</Company>
  <Pages>16</Pages>
  <Words>2624</Words>
  <Characters>13740</Characters>
  <Lines>119</Lines>
  <Paragraphs>33</Paragraphs>
  <TotalTime>1</TotalTime>
  <ScaleCrop>false</ScaleCrop>
  <LinksUpToDate>false</LinksUpToDate>
  <CharactersWithSpaces>16188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2024-02-24T02:07:00Z</dcterms:created>
  <dc:creator>微软用户</dc:creator>
  <cp:lastModifiedBy>小牛同学</cp:lastModifiedBy>
  <cp:lastPrinted>2021-02-18T01:59:00Z</cp:lastPrinted>
  <dcterms:modified xsi:type="dcterms:W3CDTF">2026-09-15T06:43:16Z</dcterms:modified>
  <dc:title>GDB750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BAB66598B7844DB49D09B80242DE45AA_13</vt:lpwstr>
  </property>
  <property fmtid="{D5CDD505-2E9C-101B-9397-08002B2CF9AE}" pid="4" name="KSOTemplateDocerSaveRecord">
    <vt:lpwstr>eyJoZGlkIjoiYzQwNjI3MjgyMGVhYWRiMDMwOWY2YmY3N2VhYzlhMjgiLCJ1c2VySWQiOiIxNTQ4OTQ1OTE5In0=</vt:lpwstr>
  </property>
</Properties>
</file>