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9BC39">
      <w:pPr>
        <w:rPr>
          <w:rFonts w:ascii="仿宋" w:hAnsi="仿宋" w:eastAsia="仿宋"/>
          <w:sz w:val="44"/>
          <w:szCs w:val="44"/>
        </w:rPr>
      </w:pPr>
      <w:bookmarkStart w:id="63" w:name="_GoBack"/>
      <w:bookmarkEnd w:id="63"/>
    </w:p>
    <w:p w14:paraId="56B0455D">
      <w:pPr>
        <w:rPr>
          <w:rFonts w:ascii="仿宋" w:hAnsi="仿宋" w:eastAsia="仿宋"/>
          <w:sz w:val="44"/>
          <w:szCs w:val="44"/>
        </w:rPr>
      </w:pPr>
    </w:p>
    <w:p w14:paraId="23E40AEB">
      <w:pPr>
        <w:rPr>
          <w:rFonts w:hint="eastAsia" w:ascii="黑体" w:hAnsi="黑体" w:eastAsia="黑体"/>
          <w:sz w:val="52"/>
          <w:szCs w:val="52"/>
          <w:lang w:eastAsia="zh-CN"/>
        </w:rPr>
      </w:pPr>
      <w:r>
        <w:rPr>
          <w:rFonts w:hint="eastAsia" w:ascii="Times New Roman" w:hAnsi="黑体" w:eastAsia="黑体" w:cs="Times New Roman"/>
          <w:kern w:val="2"/>
          <w:sz w:val="52"/>
          <w:szCs w:val="52"/>
          <w:lang w:val="en-US" w:eastAsia="zh-CN" w:bidi="ar-SA"/>
        </w:rPr>
        <w:t>Sistema de monitorización en línea de gas por láser con escaneo PTZ</w:t>
      </w:r>
    </w:p>
    <w:p w14:paraId="417516B8">
      <w:pPr>
        <w:jc w:val="center"/>
        <w:rPr>
          <w:rFonts w:hint="eastAsia" w:ascii="黑体" w:hAnsi="黑体" w:eastAsia="黑体"/>
          <w:sz w:val="52"/>
          <w:szCs w:val="52"/>
          <w:lang w:eastAsia="zh-CN"/>
        </w:rPr>
      </w:pPr>
      <w:r>
        <w:rPr>
          <w:rFonts w:hint="eastAsia" w:ascii="Times New Roman" w:hAnsi="黑体" w:eastAsia="黑体" w:cs="Times New Roman"/>
          <w:kern w:val="2"/>
          <w:sz w:val="52"/>
          <w:szCs w:val="52"/>
          <w:lang w:val="en-US" w:eastAsia="zh-CN" w:bidi="ar-SA"/>
        </w:rPr>
        <w:t>XT-G6000C</w:t>
      </w:r>
    </w:p>
    <w:p w14:paraId="0AD23BC1">
      <w:pPr>
        <w:jc w:val="center"/>
        <w:rPr>
          <w:rFonts w:ascii="黑体" w:hAnsi="黑体" w:eastAsia="黑体"/>
          <w:sz w:val="52"/>
          <w:szCs w:val="52"/>
        </w:rPr>
      </w:pPr>
    </w:p>
    <w:p w14:paraId="0F01022D">
      <w:pPr>
        <w:jc w:val="center"/>
        <w:rPr>
          <w:rFonts w:ascii="黑体" w:hAnsi="黑体" w:eastAsia="黑体"/>
          <w:sz w:val="52"/>
          <w:szCs w:val="52"/>
        </w:rPr>
      </w:pPr>
    </w:p>
    <w:p w14:paraId="39D59171">
      <w:pPr>
        <w:jc w:val="center"/>
        <w:rPr>
          <w:rFonts w:hint="eastAsia" w:ascii="黑体" w:hAnsi="黑体" w:eastAsia="黑体"/>
          <w:sz w:val="52"/>
          <w:szCs w:val="52"/>
          <w:lang w:eastAsia="zh-CN"/>
        </w:rPr>
      </w:pPr>
      <w:r>
        <w:rPr>
          <w:rFonts w:hint="eastAsia" w:ascii="Times New Roman" w:hAnsi="黑体" w:eastAsia="黑体" w:cs="Times New Roman"/>
          <w:kern w:val="2"/>
          <w:sz w:val="52"/>
          <w:szCs w:val="52"/>
          <w:lang w:val="en-US" w:eastAsia="zh-CN" w:bidi="ar-SA"/>
        </w:rPr>
        <w:t>instrucciones de funcionamiento</w:t>
      </w:r>
    </w:p>
    <w:p w14:paraId="750D4D74">
      <w:pPr>
        <w:jc w:val="center"/>
        <w:rPr>
          <w:rFonts w:ascii="仿宋" w:hAnsi="仿宋" w:eastAsia="仿宋"/>
          <w:sz w:val="44"/>
          <w:szCs w:val="44"/>
        </w:rPr>
      </w:pPr>
    </w:p>
    <w:p w14:paraId="6D7246D0">
      <w:pPr>
        <w:jc w:val="center"/>
        <w:rPr>
          <w:rFonts w:ascii="仿宋" w:hAnsi="仿宋" w:eastAsia="仿宋"/>
          <w:sz w:val="44"/>
          <w:szCs w:val="44"/>
        </w:rPr>
      </w:pPr>
    </w:p>
    <w:p w14:paraId="58123820">
      <w:pPr>
        <w:jc w:val="center"/>
        <w:rPr>
          <w:rFonts w:ascii="仿宋" w:hAnsi="仿宋" w:eastAsia="仿宋"/>
          <w:sz w:val="44"/>
          <w:szCs w:val="44"/>
        </w:rPr>
      </w:pPr>
    </w:p>
    <w:p w14:paraId="5245ACA8">
      <w:pPr>
        <w:rPr>
          <w:rFonts w:ascii="仿宋" w:hAnsi="仿宋" w:eastAsia="仿宋" w:cs="仿宋"/>
        </w:rPr>
      </w:pPr>
    </w:p>
    <w:p w14:paraId="7811B5E9">
      <w:pPr>
        <w:jc w:val="center"/>
        <w:rPr>
          <w:rFonts w:ascii="黑体" w:hAnsi="黑体" w:eastAsia="黑体" w:cs="仿宋"/>
          <w:b/>
          <w:bCs/>
          <w:sz w:val="32"/>
          <w:szCs w:val="32"/>
        </w:rPr>
      </w:pPr>
    </w:p>
    <w:p w14:paraId="689FA918">
      <w:pPr>
        <w:jc w:val="center"/>
        <w:rPr>
          <w:rFonts w:ascii="黑体" w:hAnsi="黑体" w:eastAsia="黑体" w:cs="仿宋"/>
          <w:b/>
          <w:bCs/>
          <w:sz w:val="32"/>
          <w:szCs w:val="32"/>
        </w:rPr>
      </w:pPr>
    </w:p>
    <w:p w14:paraId="455ADB6B">
      <w:pPr>
        <w:jc w:val="center"/>
        <w:rPr>
          <w:rFonts w:ascii="黑体" w:hAnsi="黑体" w:eastAsia="黑体" w:cs="仿宋"/>
          <w:b/>
          <w:bCs/>
          <w:sz w:val="32"/>
          <w:szCs w:val="32"/>
        </w:rPr>
      </w:pPr>
    </w:p>
    <w:p w14:paraId="70D065DB">
      <w:pPr>
        <w:jc w:val="center"/>
        <w:rPr>
          <w:rFonts w:ascii="黑体" w:hAnsi="黑体" w:eastAsia="黑体" w:cs="仿宋"/>
          <w:b/>
          <w:bCs/>
          <w:sz w:val="32"/>
          <w:szCs w:val="32"/>
        </w:rPr>
      </w:pPr>
    </w:p>
    <w:p w14:paraId="2FFB8517">
      <w:pPr>
        <w:jc w:val="center"/>
        <w:rPr>
          <w:rFonts w:ascii="黑体" w:hAnsi="黑体" w:eastAsia="黑体" w:cs="仿宋"/>
          <w:b/>
          <w:bCs/>
          <w:sz w:val="32"/>
          <w:szCs w:val="32"/>
        </w:rPr>
      </w:pPr>
    </w:p>
    <w:p w14:paraId="1DBB79D9">
      <w:pPr>
        <w:jc w:val="center"/>
        <w:rPr>
          <w:rFonts w:ascii="黑体" w:hAnsi="黑体" w:eastAsia="黑体" w:cs="仿宋"/>
          <w:b/>
          <w:bCs/>
          <w:sz w:val="32"/>
          <w:szCs w:val="32"/>
        </w:rPr>
      </w:pPr>
    </w:p>
    <w:p w14:paraId="188D1E6A">
      <w:pPr>
        <w:jc w:val="center"/>
        <w:rPr>
          <w:rFonts w:hint="eastAsia" w:ascii="黑体" w:hAnsi="黑体" w:eastAsia="仿宋" w:cs="仿宋"/>
          <w:b/>
          <w:bCs/>
          <w:sz w:val="30"/>
          <w:szCs w:val="30"/>
          <w:lang w:eastAsia="zh-CN"/>
        </w:rPr>
        <w:sectPr>
          <w:headerReference r:id="rId3" w:type="default"/>
          <w:pgSz w:w="11906" w:h="16838"/>
          <w:pgMar w:top="1440" w:right="1800" w:bottom="1440" w:left="1800" w:header="851" w:footer="992" w:gutter="0"/>
          <w:pgNumType w:start="1"/>
          <w:cols w:space="425" w:num="1"/>
          <w:docGrid w:type="lines" w:linePitch="312" w:charSpace="0"/>
        </w:sectPr>
      </w:pPr>
      <w:r>
        <w:rPr>
          <w:rFonts w:hint="eastAsia" w:ascii="Times New Roman" w:hAnsi="仿宋" w:eastAsia="仿宋" w:cs="仿宋"/>
          <w:b/>
          <w:kern w:val="2"/>
          <w:sz w:val="30"/>
          <w:szCs w:val="30"/>
          <w:lang w:val="en-US" w:eastAsia="zh-CN" w:bidi="ar-SA"/>
        </w:rPr>
        <w:t>Henan Otywell Electronic Technology Co., Ltd.</w:t>
      </w:r>
      <w:r>
        <w:rPr>
          <w:rFonts w:hint="default" w:ascii="Times New Roman" w:hAnsi="仿宋" w:eastAsia="仿宋" w:cs="仿宋"/>
          <w:b/>
          <w:kern w:val="2"/>
          <w:sz w:val="30"/>
          <w:szCs w:val="30"/>
          <w:lang w:val="en-US" w:eastAsia="zh-CN" w:bidi="ar-SA"/>
        </w:rPr>
        <w:t/>
      </w:r>
      <w:r>
        <w:rPr>
          <w:rFonts w:hint="eastAsia" w:ascii="Times New Roman" w:hAnsi="仿宋" w:eastAsia="仿宋" w:cs="仿宋"/>
          <w:b/>
          <w:kern w:val="2"/>
          <w:sz w:val="30"/>
          <w:szCs w:val="30"/>
          <w:lang w:val="en-US" w:eastAsia="zh-CN" w:bidi="ar-SA"/>
        </w:rPr>
        <w:t/>
      </w:r>
    </w:p>
    <w:p w14:paraId="4AFF8A61">
      <w:pPr>
        <w:jc w:val="center"/>
        <w:rPr>
          <w:rFonts w:hint="eastAsia" w:ascii="黑体" w:hAnsi="黑体" w:eastAsia="黑体" w:cs="仿宋"/>
          <w:b/>
          <w:bCs/>
          <w:sz w:val="32"/>
          <w:szCs w:val="32"/>
          <w:lang w:eastAsia="zh-CN"/>
        </w:rPr>
      </w:pPr>
      <w:r>
        <w:rPr>
          <w:rFonts w:hint="eastAsia" w:ascii="Times New Roman" w:hAnsi="黑体" w:eastAsia="黑体" w:cs="仿宋"/>
          <w:b/>
          <w:bCs/>
          <w:kern w:val="2"/>
          <w:sz w:val="32"/>
          <w:szCs w:val="32"/>
          <w:lang w:val="en-US" w:eastAsia="zh-CN" w:bidi="ar-SA"/>
        </w:rPr>
        <w:t>catálogo</w:t>
      </w:r>
    </w:p>
    <w:p w14:paraId="74D888F8">
      <w:pPr>
        <w:jc w:val="center"/>
        <w:rPr>
          <w:rFonts w:ascii="仿宋" w:hAnsi="仿宋" w:eastAsia="仿宋" w:cs="仿宋"/>
          <w:b/>
          <w:bCs/>
          <w:sz w:val="32"/>
          <w:szCs w:val="32"/>
        </w:rPr>
      </w:pPr>
    </w:p>
    <w:p w14:paraId="5003AA7C">
      <w:pPr>
        <w:pStyle w:val="10"/>
        <w:tabs>
          <w:tab w:val="right" w:leader="dot" w:pos="8296"/>
        </w:tabs>
        <w:rPr>
          <w:rFonts w:hint="eastAsia" w:eastAsia="宋体" w:asciiTheme="minorHAnsi" w:hAnsiTheme="minorHAnsi" w:cstheme="minorBidi"/>
          <w:lang w:eastAsia="zh-CN"/>
        </w:rPr>
      </w:pPr>
      <w:r>
        <w:rPr>
          <w:rFonts w:ascii="黑体" w:hAnsi="黑体" w:eastAsia="黑体" w:cs="仿宋"/>
          <w:szCs w:val="21"/>
        </w:rPr>
        <w:fldChar w:fldCharType="begin"/>
      </w:r>
      <w:r>
        <w:rPr>
          <w:rFonts w:hint="eastAsia" w:ascii="黑体" w:hAnsi="黑体" w:eastAsia="黑体" w:cs="仿宋"/>
          <w:szCs w:val="21"/>
        </w:rPr>
        <w:instrText xml:space="preserve">TOC \o "1-3" \h \z \u</w:instrText>
      </w:r>
      <w:r>
        <w:rPr>
          <w:rFonts w:ascii="黑体" w:hAnsi="黑体" w:eastAsia="黑体" w:cs="仿宋"/>
          <w:szCs w:val="21"/>
        </w:rPr>
        <w:fldChar w:fldCharType="separate"/>
      </w:r>
      <w:r>
        <w:rPr>
          <w:rFonts w:hint="eastAsia" w:ascii="Times New Roman"/>
          <w:lang w:eastAsia="zh-CN"/>
        </w:rPr>
        <w:fldChar w:fldCharType="begin"/>
      </w:r>
      <w:r>
        <w:rPr>
          <w:rFonts w:hint="eastAsia" w:ascii="Times New Roman"/>
          <w:lang w:eastAsia="zh-CN"/>
        </w:rPr>
        <w:instrText xml:space="preserve"> HYPERLINK \l "_Toc97643635" </w:instrText>
      </w:r>
      <w:r>
        <w:rPr>
          <w:rFonts w:hint="eastAsia" w:ascii="Times New Roman"/>
          <w:lang w:eastAsia="zh-CN"/>
        </w:rPr>
        <w:fldChar w:fldCharType="separate"/>
      </w:r>
      <w:r>
        <w:rPr>
          <w:rStyle w:val="16"/>
          <w:rFonts w:hint="eastAsia" w:ascii="Times New Roman"/>
          <w:lang w:eastAsia="zh-CN"/>
        </w:rPr>
        <w:t>I. Lectura esencial antes del uso 24</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5E627801">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"_Toc97643636" </w:instrText>
      </w:r>
      <w:r>
        <w:rPr>
          <w:rFonts w:hint="eastAsia" w:ascii="Times New Roman"/>
          <w:lang w:eastAsia="zh-CN"/>
        </w:rPr>
        <w:fldChar w:fldCharType="separate"/>
      </w:r>
      <w:r>
        <w:rPr>
          <w:rStyle w:val="16"/>
          <w:rFonts w:hint="eastAsia" w:ascii="Times New Roman"/>
          <w:lang w:eastAsia="zh-CN"/>
        </w:rPr>
        <w:t>1.1 Directrices para el usuario 24</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23BD4089">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"_Toc97643637" </w:instrText>
      </w:r>
      <w:r>
        <w:rPr>
          <w:rFonts w:hint="eastAsia" w:ascii="Times New Roman"/>
          <w:lang w:eastAsia="zh-CN"/>
        </w:rPr>
        <w:fldChar w:fldCharType="separate"/>
      </w:r>
      <w:r>
        <w:rPr>
          <w:rStyle w:val="16"/>
          <w:rFonts w:hint="eastAsia" w:ascii="Times New Roman"/>
          <w:lang w:eastAsia="zh-CN"/>
        </w:rPr>
        <w:t>1.2 Garantía de calidad y cláusulas de exención 24</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6BD38B15">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"_Toc97643638" </w:instrText>
      </w:r>
      <w:r>
        <w:rPr>
          <w:rFonts w:hint="eastAsia" w:ascii="Times New Roman"/>
          <w:lang w:eastAsia="zh-CN"/>
        </w:rPr>
        <w:fldChar w:fldCharType="separate"/>
      </w:r>
      <w:r>
        <w:rPr>
          <w:rStyle w:val="16"/>
          <w:rFonts w:hint="eastAsia" w:ascii="Times New Roman"/>
          <w:lang w:eastAsia="zh-CN"/>
        </w:rPr>
        <w:t>1.3 Precauciones de seguridad 35</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29CABB59">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"_Toc97643639" </w:instrText>
      </w:r>
      <w:r>
        <w:rPr>
          <w:rFonts w:hint="eastAsia" w:ascii="Times New Roman"/>
          <w:lang w:eastAsia="zh-CN"/>
        </w:rPr>
        <w:fldChar w:fldCharType="separate"/>
      </w:r>
      <w:r>
        <w:rPr>
          <w:rStyle w:val="16"/>
          <w:rFonts w:hint="eastAsia" w:ascii="Times New Roman"/>
          <w:lang w:eastAsia="zh-CN"/>
        </w:rPr>
        <w:t>1.3.1 Precauciones para el funcionamiento seguro de los instrumentos 35</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3FA7BF9A">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"_Toc97643640" </w:instrText>
      </w:r>
      <w:r>
        <w:rPr>
          <w:rFonts w:hint="eastAsia" w:ascii="Times New Roman"/>
          <w:lang w:eastAsia="zh-CN"/>
        </w:rPr>
        <w:fldChar w:fldCharType="separate"/>
      </w:r>
      <w:r>
        <w:rPr>
          <w:rStyle w:val="16"/>
          <w:rFonts w:hint="eastAsia" w:ascii="Times New Roman"/>
          <w:lang w:eastAsia="zh-CN"/>
        </w:rPr>
        <w:t>1.3.2 Otras precauciones de seguridad 35</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0DBFE8EB">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"_Toc97643641" </w:instrText>
      </w:r>
      <w:r>
        <w:rPr>
          <w:rFonts w:hint="eastAsia" w:ascii="Times New Roman"/>
          <w:lang w:eastAsia="zh-CN"/>
        </w:rPr>
        <w:fldChar w:fldCharType="separate"/>
      </w:r>
      <w:r>
        <w:rPr>
          <w:rStyle w:val="16"/>
          <w:rFonts w:hint="eastAsia" w:ascii="Times New Roman"/>
          <w:lang w:eastAsia="zh-CN"/>
        </w:rPr>
        <w:t>1.4 Evitar el uso de equipos defectuosos 35</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2BD40B22">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"_Toc97643642" </w:instrText>
      </w:r>
      <w:r>
        <w:rPr>
          <w:rFonts w:hint="eastAsia" w:ascii="Times New Roman"/>
          <w:lang w:eastAsia="zh-CN"/>
        </w:rPr>
        <w:fldChar w:fldCharType="separate"/>
      </w:r>
      <w:r>
        <w:rPr>
          <w:rStyle w:val="16"/>
          <w:rFonts w:hint="eastAsia" w:ascii="Times New Roman"/>
          <w:lang w:eastAsia="zh-CN"/>
        </w:rPr>
        <w:t>1.4.1 Al utilizar los instrumentos en condiciones meteorológicas adversas, se deben observar las siguientes precauciones: 35</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50D8BA5A">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"_Toc97643643" </w:instrText>
      </w:r>
      <w:r>
        <w:rPr>
          <w:rFonts w:hint="eastAsia" w:ascii="Times New Roman"/>
          <w:lang w:eastAsia="zh-CN"/>
        </w:rPr>
        <w:fldChar w:fldCharType="separate"/>
      </w:r>
      <w:r>
        <w:rPr>
          <w:rStyle w:val="16"/>
          <w:rFonts w:hint="eastAsia" w:ascii="Times New Roman"/>
          <w:lang w:eastAsia="zh-CN"/>
        </w:rPr>
        <w:t>II. Introducción de los componentes 46</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3BFFA7BF">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"_Toc97643644" </w:instrText>
      </w:r>
      <w:r>
        <w:rPr>
          <w:rFonts w:hint="eastAsia" w:ascii="Times New Roman"/>
          <w:lang w:eastAsia="zh-CN"/>
        </w:rPr>
        <w:fldChar w:fldCharType="separate"/>
      </w:r>
      <w:r>
        <w:rPr>
          <w:rStyle w:val="16"/>
          <w:rFonts w:hint="eastAsia" w:ascii="Times New Roman"/>
          <w:lang w:eastAsia="zh-CN"/>
        </w:rPr>
        <w:t>2.1 Descripción general del producto 46</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36BB1BA2">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"_Toc97643645" </w:instrText>
      </w:r>
      <w:r>
        <w:rPr>
          <w:rFonts w:hint="eastAsia" w:ascii="Times New Roman"/>
          <w:lang w:eastAsia="zh-CN"/>
        </w:rPr>
        <w:fldChar w:fldCharType="separate"/>
      </w:r>
      <w:r>
        <w:rPr>
          <w:rStyle w:val="16"/>
          <w:rFonts w:hint="eastAsia" w:ascii="Times New Roman"/>
          <w:lang w:eastAsia="zh-CN"/>
        </w:rPr>
        <w:t>2.1.1 Principio de detección 46</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6BFFCDC5">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"_Toc97643646" </w:instrText>
      </w:r>
      <w:r>
        <w:rPr>
          <w:rFonts w:hint="eastAsia" w:ascii="Times New Roman"/>
          <w:lang w:eastAsia="zh-CN"/>
        </w:rPr>
        <w:fldChar w:fldCharType="separate"/>
      </w:r>
      <w:r>
        <w:rPr>
          <w:rStyle w:val="16"/>
          <w:rFonts w:hint="eastAsia" w:ascii="Times New Roman"/>
          <w:lang w:eastAsia="zh-CN"/>
        </w:rPr>
        <w:t>2.2 Vista frontal 46</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1DF76B6A">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"_Toc97643647" </w:instrText>
      </w:r>
      <w:r>
        <w:rPr>
          <w:rFonts w:hint="eastAsia" w:ascii="Times New Roman"/>
          <w:lang w:eastAsia="zh-CN"/>
        </w:rPr>
        <w:fldChar w:fldCharType="separate"/>
      </w:r>
      <w:r>
        <w:rPr>
          <w:rStyle w:val="16"/>
          <w:rFonts w:hint="eastAsia" w:ascii="Times New Roman"/>
          <w:lang w:eastAsia="zh-CN"/>
        </w:rPr>
        <w:t>2.3 Caja antideflagrante 57</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0B7D1194">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"_Toc97643648" </w:instrText>
      </w:r>
      <w:r>
        <w:rPr>
          <w:rFonts w:hint="eastAsia" w:ascii="Times New Roman"/>
          <w:lang w:eastAsia="zh-CN"/>
        </w:rPr>
        <w:fldChar w:fldCharType="separate"/>
      </w:r>
      <w:r>
        <w:rPr>
          <w:rStyle w:val="16"/>
          <w:rFonts w:hint="eastAsia" w:ascii="Times New Roman"/>
          <w:lang w:eastAsia="zh-CN"/>
        </w:rPr>
        <w:t>2.4 Dimensiones de la unidad PTZ y dimensiones del espacio de instalación 57</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458E4E8B">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"_Toc97643649" </w:instrText>
      </w:r>
      <w:r>
        <w:rPr>
          <w:rFonts w:hint="eastAsia" w:ascii="Times New Roman"/>
          <w:lang w:eastAsia="zh-CN"/>
        </w:rPr>
        <w:fldChar w:fldCharType="separate"/>
      </w:r>
      <w:r>
        <w:rPr>
          <w:rStyle w:val="16"/>
          <w:rFonts w:hint="eastAsia" w:ascii="Times New Roman"/>
          <w:lang w:eastAsia="zh-CN"/>
        </w:rPr>
        <w:t>III. Procedimientos de operación de instalación 68</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0D2BBACA">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"_Toc97643650" </w:instrText>
      </w:r>
      <w:r>
        <w:rPr>
          <w:rFonts w:hint="eastAsia" w:ascii="Times New Roman"/>
          <w:lang w:eastAsia="zh-CN"/>
        </w:rPr>
        <w:fldChar w:fldCharType="separate"/>
      </w:r>
      <w:r>
        <w:rPr>
          <w:rStyle w:val="16"/>
          <w:rFonts w:hint="eastAsia" w:ascii="Times New Roman"/>
          <w:lang w:eastAsia="zh-CN"/>
        </w:rPr>
        <w:t>3.1 Procedimientos de operación de instalación 68</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71C759E9">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"_Toc97643651" </w:instrText>
      </w:r>
      <w:r>
        <w:rPr>
          <w:rFonts w:hint="eastAsia" w:ascii="Times New Roman"/>
          <w:lang w:eastAsia="zh-CN"/>
        </w:rPr>
        <w:fldChar w:fldCharType="separate"/>
      </w:r>
      <w:r>
        <w:rPr>
          <w:rStyle w:val="16"/>
          <w:rFonts w:hint="eastAsia" w:ascii="Times New Roman"/>
          <w:lang w:eastAsia="zh-CN"/>
        </w:rPr>
        <w:t>3.2 Inspección del equipo 68</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5B2B6BE3">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"_Toc97643652" </w:instrText>
      </w:r>
      <w:r>
        <w:rPr>
          <w:rFonts w:hint="eastAsia" w:ascii="Times New Roman"/>
          <w:lang w:eastAsia="zh-CN"/>
        </w:rPr>
        <w:fldChar w:fldCharType="separate"/>
      </w:r>
      <w:r>
        <w:rPr>
          <w:rStyle w:val="16"/>
          <w:rFonts w:hint="eastAsia" w:ascii="Times New Roman"/>
          <w:lang w:eastAsia="zh-CN"/>
        </w:rPr>
        <w:t>3.3 Operación del equipo 68</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31B13638">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"_Toc97643653" </w:instrText>
      </w:r>
      <w:r>
        <w:rPr>
          <w:rFonts w:hint="eastAsia" w:ascii="Times New Roman"/>
          <w:lang w:eastAsia="zh-CN"/>
        </w:rPr>
        <w:fldChar w:fldCharType="separate"/>
      </w:r>
      <w:r>
        <w:rPr>
          <w:rStyle w:val="16"/>
          <w:rFonts w:hint="eastAsia" w:ascii="Times New Roman"/>
          <w:lang w:eastAsia="zh-CN"/>
        </w:rPr>
        <w:t>3.3.1 Operaciones básicas 68</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4C8BDC82">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"_Toc97643654" </w:instrText>
      </w:r>
      <w:r>
        <w:rPr>
          <w:rFonts w:hint="eastAsia" w:ascii="Times New Roman"/>
          <w:lang w:eastAsia="zh-CN"/>
        </w:rPr>
        <w:fldChar w:fldCharType="separate"/>
      </w:r>
      <w:r>
        <w:rPr>
          <w:rStyle w:val="16"/>
          <w:rFonts w:hint="eastAsia" w:ascii="Times New Roman"/>
          <w:lang w:eastAsia="zh-CN"/>
        </w:rPr>
        <w:t>IV. Operación del software 79</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2DC1410E">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"_Toc97643655" </w:instrText>
      </w:r>
      <w:r>
        <w:rPr>
          <w:rFonts w:hint="eastAsia" w:ascii="Times New Roman"/>
          <w:lang w:eastAsia="zh-CN"/>
        </w:rPr>
        <w:fldChar w:fldCharType="separate"/>
      </w:r>
      <w:r>
        <w:rPr>
          <w:rStyle w:val="16"/>
          <w:rFonts w:hint="eastAsia" w:ascii="Times New Roman"/>
          <w:lang w:eastAsia="zh-CN"/>
        </w:rPr>
        <w:t>4.1 Apertura del software 79</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4644BA44">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"_Toc97643656" </w:instrText>
      </w:r>
      <w:r>
        <w:rPr>
          <w:rFonts w:hint="eastAsia" w:ascii="Times New Roman"/>
          <w:lang w:eastAsia="zh-CN"/>
        </w:rPr>
        <w:fldChar w:fldCharType="separate"/>
      </w:r>
      <w:r>
        <w:rPr>
          <w:rStyle w:val="16"/>
          <w:rFonts w:hint="eastAsia" w:ascii="Times New Roman"/>
          <w:lang w:eastAsia="zh-CN"/>
        </w:rPr>
        <w:t>4.2 Inicio de sesión del usuario 79</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7810356C">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"_Toc97643657" </w:instrText>
      </w:r>
      <w:r>
        <w:rPr>
          <w:rFonts w:hint="eastAsia" w:ascii="Times New Roman"/>
          <w:lang w:eastAsia="zh-CN"/>
        </w:rPr>
        <w:fldChar w:fldCharType="separate"/>
      </w:r>
      <w:r>
        <w:rPr>
          <w:rStyle w:val="16"/>
          <w:rFonts w:hint="eastAsia" w:ascii="Times New Roman"/>
          <w:lang w:eastAsia="zh-CN"/>
        </w:rPr>
        <w:t>4.3 Conexión de la señal de vídeo 79</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1F9DAF38">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"_Toc97643658" </w:instrText>
      </w:r>
      <w:r>
        <w:rPr>
          <w:rFonts w:hint="eastAsia" w:ascii="Times New Roman"/>
          <w:lang w:eastAsia="zh-CN"/>
        </w:rPr>
        <w:fldChar w:fldCharType="separate"/>
      </w:r>
      <w:r>
        <w:rPr>
          <w:rStyle w:val="16"/>
          <w:rFonts w:hint="eastAsia" w:ascii="Times New Roman"/>
          <w:lang w:eastAsia="zh-CN"/>
        </w:rPr>
        <w:t>4.4. Conexión de las señales de telemetría 810</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0ECE4C5E">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"_Toc97643659" </w:instrText>
      </w:r>
      <w:r>
        <w:rPr>
          <w:rFonts w:hint="eastAsia" w:ascii="Times New Roman"/>
          <w:lang w:eastAsia="zh-CN"/>
        </w:rPr>
        <w:fldChar w:fldCharType="separate"/>
      </w:r>
      <w:r>
        <w:rPr>
          <w:rStyle w:val="16"/>
          <w:rFonts w:hint="eastAsia" w:ascii="Times New Roman"/>
          <w:lang w:eastAsia="zh-CN"/>
        </w:rPr>
        <w:t>4.5. Inicio de la misión de telemetría 911</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20C14E62">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"_Toc97643660" </w:instrText>
      </w:r>
      <w:r>
        <w:rPr>
          <w:rFonts w:hint="eastAsia" w:ascii="Times New Roman"/>
          <w:lang w:eastAsia="zh-CN"/>
        </w:rPr>
        <w:fldChar w:fldCharType="separate"/>
      </w:r>
      <w:r>
        <w:rPr>
          <w:rStyle w:val="16"/>
          <w:rFonts w:hint="eastAsia" w:ascii="Times New Roman"/>
          <w:lang w:eastAsia="zh-CN"/>
        </w:rPr>
        <w:t>4.6 Detención de la tarea de telemetría 1012</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57FB8C27">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"_Toc97643661" </w:instrText>
      </w:r>
      <w:r>
        <w:rPr>
          <w:rFonts w:hint="eastAsia" w:ascii="Times New Roman"/>
          <w:lang w:eastAsia="zh-CN"/>
        </w:rPr>
        <w:fldChar w:fldCharType="separate"/>
      </w:r>
      <w:r>
        <w:rPr>
          <w:rStyle w:val="16"/>
          <w:rFonts w:hint="eastAsia" w:ascii="Times New Roman"/>
          <w:lang w:eastAsia="zh-CN"/>
        </w:rPr>
        <w:t>4.7 Configuración del punto de alarma 1012</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39ABACBA">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"_Toc97643662" </w:instrText>
      </w:r>
      <w:r>
        <w:rPr>
          <w:rFonts w:hint="eastAsia" w:ascii="Times New Roman"/>
          <w:lang w:eastAsia="zh-CN"/>
        </w:rPr>
        <w:fldChar w:fldCharType="separate"/>
      </w:r>
      <w:r>
        <w:rPr>
          <w:rStyle w:val="16"/>
          <w:rFonts w:hint="eastAsia" w:ascii="Times New Roman"/>
          <w:lang w:eastAsia="zh-CN"/>
        </w:rPr>
        <w:t>4.8. Configuración de los puntos de posición de escaneo 1214</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19EF9AED">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"_Toc97643663" </w:instrText>
      </w:r>
      <w:r>
        <w:rPr>
          <w:rFonts w:hint="eastAsia" w:ascii="Times New Roman"/>
          <w:lang w:eastAsia="zh-CN"/>
        </w:rPr>
        <w:fldChar w:fldCharType="separate"/>
      </w:r>
      <w:r>
        <w:rPr>
          <w:rStyle w:val="16"/>
          <w:rFonts w:hint="eastAsia" w:ascii="Times New Roman"/>
          <w:lang w:eastAsia="zh-CN"/>
        </w:rPr>
        <w:t>4.8.1 Ajuste manual de los puntos de posición 1214</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2C75BA18">
      <w:pPr>
        <w:pStyle w:val="5"/>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"_Toc97643664" </w:instrText>
      </w:r>
      <w:r>
        <w:rPr>
          <w:rFonts w:hint="eastAsia" w:ascii="Times New Roman"/>
          <w:lang w:eastAsia="zh-CN"/>
        </w:rPr>
        <w:fldChar w:fldCharType="separate"/>
      </w:r>
      <w:r>
        <w:rPr>
          <w:rStyle w:val="16"/>
          <w:rFonts w:hint="eastAsia" w:ascii="Times New Roman"/>
          <w:lang w:eastAsia="zh-CN"/>
        </w:rPr>
        <w:t>4.8.2 Almacenamiento del punto de ubicación 1214</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7A7B888F">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"_Toc97643665" </w:instrText>
      </w:r>
      <w:r>
        <w:rPr>
          <w:rFonts w:hint="eastAsia" w:ascii="Times New Roman"/>
          <w:lang w:eastAsia="zh-CN"/>
        </w:rPr>
        <w:fldChar w:fldCharType="separate"/>
      </w:r>
      <w:r>
        <w:rPr>
          <w:rStyle w:val="16"/>
          <w:rFonts w:hint="eastAsia" w:ascii="Times New Roman"/>
          <w:lang w:eastAsia="zh-CN"/>
        </w:rPr>
        <w:t>4.9 Configuración de la ruta de recorrido 1315</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4AF4B8B0">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"_Toc97643666" </w:instrText>
      </w:r>
      <w:r>
        <w:rPr>
          <w:rFonts w:hint="eastAsia" w:ascii="Times New Roman"/>
          <w:lang w:eastAsia="zh-CN"/>
        </w:rPr>
        <w:fldChar w:fldCharType="separate"/>
      </w:r>
      <w:r>
        <w:rPr>
          <w:rStyle w:val="16"/>
          <w:rFonts w:hint="eastAsia" w:ascii="Times New Roman"/>
          <w:lang w:eastAsia="zh-CN"/>
        </w:rPr>
        <w:t>4.10 Inicio del recorrido 1315</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14C98EFA">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"_Toc97643667" </w:instrText>
      </w:r>
      <w:r>
        <w:rPr>
          <w:rFonts w:hint="eastAsia" w:ascii="Times New Roman"/>
          <w:lang w:eastAsia="zh-CN"/>
        </w:rPr>
        <w:fldChar w:fldCharType="separate"/>
      </w:r>
      <w:r>
        <w:rPr>
          <w:rStyle w:val="16"/>
          <w:rFonts w:hint="eastAsia" w:ascii="Times New Roman"/>
          <w:lang w:eastAsia="zh-CN"/>
        </w:rPr>
        <w:t>4.11 Ver historial 1315</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1331F9AB">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"_Toc97643668" </w:instrText>
      </w:r>
      <w:r>
        <w:rPr>
          <w:rFonts w:hint="eastAsia" w:ascii="Times New Roman"/>
          <w:lang w:eastAsia="zh-CN"/>
        </w:rPr>
        <w:fldChar w:fldCharType="separate"/>
      </w:r>
      <w:r>
        <w:rPr>
          <w:rStyle w:val="16"/>
          <w:rFonts w:hint="eastAsia" w:ascii="Times New Roman"/>
          <w:lang w:eastAsia="zh-CN"/>
        </w:rPr>
        <w:t>4.12 Información del sensor de telemetría 1416</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17202EE1">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"_Toc97643669" </w:instrText>
      </w:r>
      <w:r>
        <w:rPr>
          <w:rFonts w:hint="eastAsia" w:ascii="Times New Roman"/>
          <w:lang w:eastAsia="zh-CN"/>
        </w:rPr>
        <w:fldChar w:fldCharType="separate"/>
      </w:r>
      <w:r>
        <w:rPr>
          <w:rStyle w:val="16"/>
          <w:rFonts w:hint="eastAsia" w:ascii="Times New Roman"/>
          <w:lang w:eastAsia="zh-CN"/>
        </w:rPr>
        <w:t>V. Factores que afectan a la precisión 1517</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20369434">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"_Toc97643670" </w:instrText>
      </w:r>
      <w:r>
        <w:rPr>
          <w:rFonts w:hint="eastAsia" w:ascii="Times New Roman"/>
          <w:lang w:eastAsia="zh-CN"/>
        </w:rPr>
        <w:fldChar w:fldCharType="separate"/>
      </w:r>
      <w:r>
        <w:rPr>
          <w:rStyle w:val="16"/>
          <w:rFonts w:hint="eastAsia" w:ascii="Times New Roman"/>
          <w:lang w:eastAsia="zh-CN"/>
        </w:rPr>
        <w:t>VI. Solución de fallos comunes 1517</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15117662">
      <w:pPr>
        <w:pStyle w:val="10"/>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"_Toc97643671" </w:instrText>
      </w:r>
      <w:r>
        <w:rPr>
          <w:rFonts w:hint="eastAsia" w:ascii="Times New Roman"/>
          <w:lang w:eastAsia="zh-CN"/>
        </w:rPr>
        <w:fldChar w:fldCharType="separate"/>
      </w:r>
      <w:r>
        <w:rPr>
          <w:rStyle w:val="16"/>
          <w:rFonts w:hint="eastAsia" w:ascii="Times New Roman"/>
          <w:lang w:eastAsia="zh-CN"/>
        </w:rPr>
        <w:t>VII. Apéndice 1517</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29050D5E">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"_Toc97643672" </w:instrText>
      </w:r>
      <w:r>
        <w:rPr>
          <w:rFonts w:hint="eastAsia" w:ascii="Times New Roman"/>
          <w:lang w:eastAsia="zh-CN"/>
        </w:rPr>
        <w:fldChar w:fldCharType="separate"/>
      </w:r>
      <w:r>
        <w:rPr>
          <w:rStyle w:val="16"/>
          <w:rFonts w:hint="eastAsia" w:ascii="Times New Roman"/>
          <w:lang w:eastAsia="zh-CN"/>
        </w:rPr>
        <w:t>7.1 Mantenimiento y cuidado diarios 1517</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450C406F">
      <w:pPr>
        <w:pStyle w:val="11"/>
        <w:tabs>
          <w:tab w:val="right" w:leader="dot" w:pos="8296"/>
        </w:tabs>
        <w:rPr>
          <w:rFonts w:hint="eastAsia" w:eastAsia="宋体" w:asciiTheme="minorHAnsi" w:hAnsiTheme="minorHAnsi" w:cstheme="minorBidi"/>
          <w:lang w:eastAsia="zh-CN"/>
        </w:rPr>
      </w:pPr>
      <w:r>
        <w:rPr>
          <w:rFonts w:hint="eastAsia" w:ascii="Times New Roman"/>
          <w:lang w:eastAsia="zh-CN"/>
        </w:rPr>
        <w:fldChar w:fldCharType="begin"/>
      </w:r>
      <w:r>
        <w:rPr>
          <w:rFonts w:hint="eastAsia" w:ascii="Times New Roman"/>
          <w:lang w:eastAsia="zh-CN"/>
        </w:rPr>
        <w:instrText xml:space="preserve"> HYPERLINK \l "_Toc97643673" </w:instrText>
      </w:r>
      <w:r>
        <w:rPr>
          <w:rFonts w:hint="eastAsia" w:ascii="Times New Roman"/>
          <w:lang w:eastAsia="zh-CN"/>
        </w:rPr>
        <w:fldChar w:fldCharType="separate"/>
      </w:r>
      <w:r>
        <w:rPr>
          <w:rStyle w:val="16"/>
          <w:rFonts w:hint="eastAsia" w:ascii="Times New Roman"/>
          <w:lang w:eastAsia="zh-CN"/>
        </w:rPr>
        <w:t>7.2 Parámetros de rendimiento 1618</w:t>
      </w:r>
      <w:r>
        <w:rPr>
          <w:rStyle w:val="16"/>
          <w:rFonts w:hint="eastAsia" w:ascii="Times New Roman"/>
          <w:lang w:eastAsia="zh-CN"/>
        </w:rPr>
        <w:tab/>
      </w:r>
      <w:r>
        <w:rPr>
          <w:rStyle w:val="16"/>
          <w:rFonts w:hint="eastAsia" w:ascii="Times New Roman"/>
          <w:lang w:eastAsia="zh-CN"/>
        </w:rPr>
        <w:t/>
      </w:r>
      <w:r>
        <w:rPr>
          <w:rFonts w:hint="eastAsia" w:ascii="Times New Roman"/>
          <w:lang w:eastAsia="zh-CN"/>
        </w:rPr>
        <w:fldChar w:fldCharType="end"/>
      </w:r>
    </w:p>
    <w:p w14:paraId="7BFC50B5">
      <w:pPr>
        <w:pStyle w:val="11"/>
        <w:tabs>
          <w:tab w:val="right" w:leader="dot" w:pos="7134"/>
        </w:tabs>
        <w:spacing w:line="360" w:lineRule="auto"/>
        <w:ind w:left="0" w:leftChars="0"/>
        <w:sectPr>
          <w:pgSz w:w="11906" w:h="16838"/>
          <w:pgMar w:top="1440" w:right="1800" w:bottom="1440" w:left="1800" w:header="851" w:footer="992" w:gutter="0"/>
          <w:pgNumType w:start="1"/>
          <w:cols w:space="425" w:num="1"/>
          <w:docGrid w:type="lines" w:linePitch="312" w:charSpace="0"/>
        </w:sectPr>
      </w:pPr>
      <w:r>
        <w:rPr>
          <w:rFonts w:ascii="黑体" w:hAnsi="黑体" w:eastAsia="黑体" w:cs="仿宋"/>
          <w:szCs w:val="21"/>
        </w:rPr>
        <w:fldChar w:fldCharType="end"/>
      </w:r>
    </w:p>
    <w:p w14:paraId="39A3AC35">
      <w:pPr>
        <w:pStyle w:val="2"/>
        <w:rPr>
          <w:rFonts w:hint="eastAsia" w:eastAsia="黑体"/>
          <w:lang w:eastAsia="zh-CN"/>
        </w:rPr>
      </w:pPr>
      <w:bookmarkStart w:id="0" w:name="_Toc97643635"/>
      <w:bookmarkStart w:id="1" w:name="_Toc462756349"/>
      <w:r>
        <w:rPr>
          <w:rFonts w:hint="eastAsia" w:ascii="Times New Roman" w:hAnsi="Calibri" w:eastAsia="黑体" w:cs="Times New Roman"/>
          <w:b/>
          <w:bCs/>
          <w:kern w:val="44"/>
          <w:sz w:val="32"/>
          <w:szCs w:val="44"/>
          <w:lang w:val="en-US" w:eastAsia="zh-CN" w:bidi="ar-SA"/>
        </w:rPr>
        <w:t>I. Lectura esencial antes del uso</w:t>
      </w:r>
      <w:bookmarkEnd w:id="0"/>
      <w:bookmarkEnd w:id="1"/>
    </w:p>
    <w:p w14:paraId="2308CF56">
      <w:pPr>
        <w:pStyle w:val="21"/>
        <w:ind w:left="420" w:firstLine="0" w:firstLineChars="0"/>
        <w:rPr>
          <w:rFonts w:hint="eastAsia" w:asciiTheme="minorEastAsia" w:hAnsiTheme="minorEastAsia" w:eastAsiaTheme="minorEastAsia"/>
          <w:szCs w:val="21"/>
          <w:lang w:eastAsia="zh-CN"/>
        </w:rPr>
      </w:pPr>
      <w:r>
        <w:rPr>
          <w:rFonts w:hint="eastAsia" w:ascii="Times New Roman" w:hAnsiTheme="minorEastAsia" w:eastAsiaTheme="minorEastAsia" w:cstheme="minorBidi"/>
          <w:kern w:val="2"/>
          <w:sz w:val="21"/>
          <w:szCs w:val="21"/>
          <w:lang w:val="en-US" w:eastAsia="zh-CN" w:bidi="ar-SA"/>
        </w:rPr>
        <w:t>Este instrumento ha sido calibrado antes de su salida de fábrica.</w:t>
      </w:r>
    </w:p>
    <w:p w14:paraId="5AEEEA56">
      <w:pPr>
        <w:pStyle w:val="3"/>
        <w:rPr>
          <w:rFonts w:hint="eastAsia" w:eastAsia="黑体"/>
          <w:szCs w:val="28"/>
          <w:lang w:eastAsia="zh-CN"/>
        </w:rPr>
      </w:pPr>
      <w:bookmarkStart w:id="2" w:name="_Toc462756350"/>
      <w:bookmarkStart w:id="3" w:name="_Toc97643636"/>
      <w:r>
        <w:rPr>
          <w:rFonts w:hint="eastAsia" w:ascii="Times New Roman" w:eastAsia="黑体" w:hAnsiTheme="majorHAnsi" w:cstheme="majorBidi"/>
          <w:b/>
          <w:bCs/>
          <w:kern w:val="2"/>
          <w:sz w:val="28"/>
          <w:szCs w:val="28"/>
          <w:lang w:val="en-US" w:eastAsia="zh-CN" w:bidi="ar-SA"/>
        </w:rPr>
        <w:t>1.1 Aviso al usuario</w:t>
      </w:r>
      <w:bookmarkEnd w:id="2"/>
      <w:r>
        <w:rPr>
          <w:rFonts w:hint="eastAsia" w:ascii="Times New Roman" w:eastAsia="黑体" w:hAnsiTheme="majorHAnsi" w:cstheme="majorBidi"/>
          <w:b/>
          <w:bCs/>
          <w:kern w:val="2"/>
          <w:sz w:val="28"/>
          <w:szCs w:val="28"/>
          <w:lang w:val="en-US" w:eastAsia="zh-CN" w:bidi="ar-SA"/>
        </w:rPr>
        <w:t xml:space="preserve"/>
      </w:r>
      <w:bookmarkEnd w:id="3"/>
    </w:p>
    <w:p w14:paraId="77BD073D">
      <w:pPr>
        <w:ind w:firstLine="420" w:firstLineChars="200"/>
        <w:rPr>
          <w:rFonts w:hint="eastAsia" w:ascii="仿宋" w:hAnsi="仿宋" w:eastAsia="仿宋" w:cs="宋体"/>
          <w:szCs w:val="21"/>
          <w:lang w:eastAsia="zh-CN"/>
        </w:rPr>
      </w:pPr>
      <w:r>
        <w:rPr>
          <w:rFonts w:hint="eastAsia" w:ascii="Times New Roman" w:hAnsi="仿宋" w:eastAsia="仿宋" w:cs="宋体"/>
          <w:kern w:val="2"/>
          <w:sz w:val="21"/>
          <w:szCs w:val="21"/>
          <w:lang w:val="en-US" w:eastAsia="zh-CN" w:bidi="ar-SA"/>
        </w:rPr>
        <w:t>Bienvenido al instrumento fijo de telemetría láser de gas XT-G6000C (en lo sucesivo, el instrumento de telemetría). Antes de utilizar este producto, lea atentamente este manual. Contiene información operativa esencial y especificaciones técnicas que los usuarios deben seguir estrictamente para garantizar el correcto funcionamiento del equipo. Las indicaciones proporcionadas también ayudarán a los usuarios a operar correctamente el producto y a analizar los datos con precisión.</w:t>
      </w:r>
    </w:p>
    <w:p w14:paraId="2CB58AB3">
      <w:pPr>
        <w:ind w:firstLine="420" w:firstLineChars="200"/>
        <w:rPr>
          <w:rFonts w:hint="eastAsia" w:ascii="仿宋" w:hAnsi="仿宋" w:eastAsia="仿宋" w:cs="宋体"/>
          <w:szCs w:val="21"/>
          <w:lang w:eastAsia="zh-CN"/>
        </w:rPr>
      </w:pPr>
      <w:r>
        <w:rPr>
          <w:rFonts w:hint="eastAsia" w:ascii="Times New Roman" w:hAnsi="仿宋" w:eastAsia="仿宋" w:cs="宋体"/>
          <w:kern w:val="2"/>
          <w:sz w:val="21"/>
          <w:szCs w:val="21"/>
          <w:lang w:val="en-US" w:eastAsia="zh-CN" w:bidi="ar-SA"/>
        </w:rPr>
        <w:t>Este manual proporciona una guía completa sobre el uso correcto de los instrumentos de telemetría y sirve como referencia precisa para el personal técnicamente capacitado o con conocimientos relevantes en el manejo y control de instrumentos. Antes de operar los instrumentos, asegúrese de comprender plenamente las instrucciones de seguridad y las advertencias descritas en este manual, y aplíquelas durante las operaciones prácticas. Debido a diversas limitaciones, no es posible ofrecer descripciones detalladas de todos los aspectos. Si los usuarios necesitan más información o asistencia con cuestiones no tratadas en este manual, póngase en contacto con nuestra línea de atención posventa 400-811-8873 para recibir soporte.</w:t>
      </w:r>
    </w:p>
    <w:p w14:paraId="73CCD3EE">
      <w:pPr>
        <w:pStyle w:val="3"/>
        <w:rPr>
          <w:rFonts w:hint="eastAsia" w:eastAsia="黑体"/>
          <w:szCs w:val="28"/>
          <w:lang w:eastAsia="zh-CN"/>
        </w:rPr>
      </w:pPr>
      <w:bookmarkStart w:id="4" w:name="_Toc97643637"/>
      <w:r>
        <w:rPr>
          <w:rFonts w:hint="eastAsia" w:ascii="Times New Roman" w:eastAsia="黑体" w:hAnsiTheme="majorHAnsi" w:cstheme="majorBidi"/>
          <w:b/>
          <w:bCs/>
          <w:kern w:val="2"/>
          <w:sz w:val="28"/>
          <w:szCs w:val="28"/>
          <w:lang w:val="en-US" w:eastAsia="zh-CN" w:bidi="ar-SA"/>
        </w:rPr>
        <w:t>1.2 Garantía de calidad y cláusulas de exención</w:t>
      </w:r>
      <w:bookmarkEnd w:id="4"/>
    </w:p>
    <w:p w14:paraId="74184175">
      <w:pPr>
        <w:ind w:firstLine="420"/>
        <w:rPr>
          <w:rFonts w:hint="eastAsia" w:ascii="仿宋" w:hAnsi="仿宋" w:eastAsia="仿宋" w:cs="宋体"/>
          <w:szCs w:val="21"/>
          <w:lang w:eastAsia="zh-CN"/>
        </w:rPr>
      </w:pPr>
      <w:r>
        <w:rPr>
          <w:rFonts w:hint="eastAsia" w:ascii="Times New Roman" w:hAnsi="仿宋" w:eastAsia="仿宋" w:cs="宋体"/>
          <w:kern w:val="2"/>
          <w:sz w:val="21"/>
          <w:szCs w:val="21"/>
          <w:lang w:val="en-US" w:eastAsia="zh-CN" w:bidi="ar-SA"/>
        </w:rPr>
        <w:t>Al elegir Outeiwell Technology, está seleccionando productos de alta calidad. Todos los productos de nuestra empresa pueden repararse de forma gratuita durante el período de garantía; una vez finalizado dicho período, se cobrarán las tarifas correspondientes a la sustitución de componentes. Si encuentra algún problema durante el uso, póngase en contacto con nosotros para recibir asistencia inmediata. Todo el instrumento está cubierto por una garantía de un año.</w:t>
      </w:r>
    </w:p>
    <w:p w14:paraId="4154DEC3">
      <w:pPr>
        <w:jc w:val="left"/>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Cualquier reparación fuera del período de garantía, o aquella que se realice durante el período de garantía y esté relacionada con los siguientes fallos, se considerará una reparación fuera de garantía, para la cual no se ofrecerá servicio de garantía gratuito. Outeiwell Technology se reserva el derecho de cobrar las tarifas de mantenimiento en el sitio. Estos fallos incluyen, entre otros:</w:t>
      </w:r>
    </w:p>
    <w:p w14:paraId="6080FCC2">
      <w:pPr>
        <w:jc w:val="left"/>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1) Debido a un uso inadecuado (entrada de agua en el interior, corrosión, incendio o interferencias eléctricas de circuitos de alta tensión);</w:t>
      </w:r>
    </w:p>
    <w:p w14:paraId="5A9B4E89">
      <w:pPr>
        <w:jc w:val="left"/>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2) Fuerza mayor (daños causados por terremotos, rayos, inundaciones, etc.);</w:t>
      </w:r>
    </w:p>
    <w:p w14:paraId="552EB2AE">
      <w:pPr>
        <w:jc w:val="left"/>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3) Modificación no autorizada del interior del producto sin permiso;</w:t>
      </w:r>
    </w:p>
    <w:p w14:paraId="7235B43F">
      <w:pPr>
        <w:jc w:val="left"/>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4) El uso del producto sin seguir el manual de usuario y las normas de formación, lo que provoque daños al producto;</w:t>
      </w:r>
    </w:p>
    <w:p w14:paraId="3055F0F0">
      <w:pPr>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Este manual solo cubre los instrumentos y componentes vendidos a los compradores por proveedores, distribuidores y representantes autorizados por Oteville Technologies.</w:t>
      </w:r>
    </w:p>
    <w:p w14:paraId="7CA614F9">
      <w:pPr>
        <w:widowControl/>
        <w:jc w:val="left"/>
        <w:rPr>
          <w:rFonts w:ascii="仿宋" w:hAnsi="仿宋" w:eastAsia="仿宋"/>
        </w:rPr>
      </w:pPr>
      <w:r>
        <w:rPr>
          <w:rFonts w:ascii="仿宋" w:hAnsi="仿宋" w:eastAsia="仿宋"/>
        </w:rPr>
        <w:br w:type="page"/>
      </w:r>
    </w:p>
    <w:p w14:paraId="1DB46104">
      <w:pPr>
        <w:pStyle w:val="3"/>
        <w:rPr>
          <w:rFonts w:hint="eastAsia" w:eastAsia="黑体"/>
          <w:szCs w:val="28"/>
          <w:lang w:eastAsia="zh-CN"/>
        </w:rPr>
      </w:pPr>
      <w:bookmarkStart w:id="5" w:name="_Toc462756351"/>
      <w:bookmarkStart w:id="6" w:name="_Toc97643638"/>
      <w:r>
        <w:rPr>
          <w:rFonts w:hint="eastAsia" w:ascii="Times New Roman" w:eastAsia="黑体" w:hAnsiTheme="majorHAnsi" w:cstheme="majorBidi"/>
          <w:b/>
          <w:bCs/>
          <w:kern w:val="2"/>
          <w:sz w:val="28"/>
          <w:szCs w:val="28"/>
          <w:lang w:val="en-US" w:eastAsia="zh-CN" w:bidi="ar-SA"/>
        </w:rPr>
        <w:t>1.3 Precauciones de seguridad</w:t>
      </w:r>
      <w:bookmarkEnd w:id="5"/>
      <w:bookmarkEnd w:id="6"/>
    </w:p>
    <w:p w14:paraId="061FE879">
      <w:pPr>
        <w:ind w:firstLine="420" w:firstLineChars="200"/>
        <w:rPr>
          <w:rFonts w:hint="eastAsia" w:ascii="仿宋" w:hAnsi="仿宋" w:eastAsia="仿宋" w:cs="仿宋"/>
          <w:szCs w:val="21"/>
          <w:lang w:eastAsia="zh-CN"/>
        </w:rPr>
      </w:pPr>
      <w:r>
        <w:rPr>
          <w:rFonts w:hint="eastAsia" w:ascii="Times New Roman" w:hAnsi="仿宋" w:eastAsia="仿宋" w:cs="仿宋"/>
          <w:kern w:val="2"/>
          <w:sz w:val="21"/>
          <w:szCs w:val="21"/>
          <w:lang w:val="en-US" w:eastAsia="zh-CN" w:bidi="ar-SA"/>
        </w:rPr>
        <w:t>Antes de utilizar este instrumento, asegúrese de haber leído y comprendido las precauciones de seguridad que se describen a continuación.</w:t>
      </w:r>
    </w:p>
    <w:p w14:paraId="37586C12">
      <w:pPr>
        <w:pStyle w:val="4"/>
        <w:rPr>
          <w:rFonts w:hint="eastAsia" w:eastAsia="黑体"/>
          <w:szCs w:val="21"/>
          <w:lang w:eastAsia="zh-CN"/>
        </w:rPr>
      </w:pPr>
      <w:bookmarkStart w:id="7" w:name="_Toc97643639"/>
      <w:bookmarkStart w:id="8" w:name="_Toc462756352"/>
      <w:r>
        <w:rPr>
          <w:rFonts w:hint="eastAsia" w:ascii="Times New Roman" w:hAnsi="Calibri" w:eastAsia="黑体" w:cs="Times New Roman"/>
          <w:b/>
          <w:bCs/>
          <w:kern w:val="2"/>
          <w:sz w:val="21"/>
          <w:szCs w:val="21"/>
          <w:lang w:val="en-US" w:eastAsia="zh-CN" w:bidi="ar-SA"/>
        </w:rPr>
        <w:t>1.3.1 Precauciones para el funcionamiento seguro de los instrumentos</w:t>
      </w:r>
      <w:bookmarkEnd w:id="7"/>
      <w:bookmarkEnd w:id="8"/>
    </w:p>
    <w:p w14:paraId="3DC561F9">
      <w:pPr>
        <w:rPr>
          <w:rFonts w:eastAsia="黑体"/>
          <w:szCs w:val="21"/>
        </w:rPr>
      </w:pPr>
      <w:r>
        <mc:AlternateContent>
          <mc:Choice Requires="wps">
            <w:drawing>
              <wp:anchor distT="0" distB="0" distL="114300" distR="114300" simplePos="0" relativeHeight="251661312" behindDoc="0" locked="0" layoutInCell="1" allowOverlap="1">
                <wp:simplePos x="0" y="0"/>
                <wp:positionH relativeFrom="column">
                  <wp:posOffset>255905</wp:posOffset>
                </wp:positionH>
                <wp:positionV relativeFrom="paragraph">
                  <wp:posOffset>99695</wp:posOffset>
                </wp:positionV>
                <wp:extent cx="5042535" cy="1432560"/>
                <wp:effectExtent l="6350" t="6350" r="31115" b="8890"/>
                <wp:wrapNone/>
                <wp:docPr id="22" name="文本框 12"/>
                <wp:cNvGraphicFramePr/>
                <a:graphic xmlns:a="http://schemas.openxmlformats.org/drawingml/2006/main">
                  <a:graphicData uri="http://schemas.microsoft.com/office/word/2010/wordprocessingShape">
                    <wps:wsp>
                      <wps:cNvSpPr txBox="1"/>
                      <wps:spPr>
                        <a:xfrm>
                          <a:off x="0" y="0"/>
                          <a:ext cx="5042535" cy="14325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E8398E4">
                            <w:pPr>
                              <w:ind w:firstLine="422" w:firstLineChars="200"/>
                              <w:rPr>
                                <w:rFonts w:ascii="仿宋" w:hAnsi="仿宋" w:eastAsia="仿宋" w:cs="仿宋"/>
                                <w:b/>
                                <w:color w:val="FF0000"/>
                              </w:rPr>
                            </w:pPr>
                          </w:p>
                          <w:p w14:paraId="74F9EC81">
                            <w:pPr>
                              <w:ind w:firstLine="422" w:firstLineChars="200"/>
                              <w:rPr>
                                <w:rFonts w:hint="eastAsia" w:ascii="仿宋" w:hAnsi="仿宋" w:eastAsia="仿宋" w:cs="仿宋"/>
                                <w:b/>
                                <w:color w:val="FF0000"/>
                                <w:lang w:eastAsia="zh-CN"/>
                              </w:rPr>
                            </w:pPr>
                            <w:r>
                              <w:rPr>
                                <w:rFonts w:hint="eastAsia" w:ascii="Times New Roman" w:hAnsi="仿宋" w:eastAsia="仿宋" w:cs="仿宋"/>
                                <w:b/>
                                <w:color w:val="FF0000"/>
                                <w:kern w:val="2"/>
                                <w:sz w:val="21"/>
                                <w:szCs w:val="22"/>
                                <w:lang w:val="en-US" w:eastAsia="zh-CN" w:bidi="ar-SA"/>
                              </w:rPr>
                              <w:t>Advertencia:</w:t>
                            </w:r>
                          </w:p>
                          <w:p w14:paraId="633942D5">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1. El instrumento debe protegerse de la radiación de fuentes de calor de alta temperatura, ya que las temperaturas excesivamente altas o bajas pueden afectar negativamente a su rendimiento operativo y a su vida útil.</w:t>
                            </w:r>
                          </w:p>
                          <w:p w14:paraId="4019DE1D">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2. Evite mirar fijamente el emisor láser durante períodos prolongados para prevenir quemaduras oculares.</w:t>
                            </w:r>
                          </w:p>
                        </w:txbxContent>
                      </wps:txbx>
                      <wps:bodyPr upright="1"/>
                    </wps:wsp>
                  </a:graphicData>
                </a:graphic>
              </wp:anchor>
            </w:drawing>
          </mc:Choice>
          <mc:Fallback>
            <w:pict>
              <v:shape id="文本框 12" o:spid="_x0000_s1026" o:spt="202" type="#_x0000_t202" style="position:absolute;left:0pt;margin-left:20.15pt;margin-top:7.85pt;height:112.8pt;width:397.05pt;z-index:251661312;mso-width-relative:page;mso-height-relative:page;" fillcolor="#FFFFFF" filled="t" stroked="t" coordsize="21600,21600" o:gfxdata="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HcgQgtkAAAAJAQAADwAA&#10;AAAAAAABACAAAAAiAAAAZHJzL2Rvd25yZXYueG1sUEsBAhQAFAAAAAgAh07iQL0CcAsVAgAARwQA&#10;AA4AAAAAAAAAAQAgAAAAKAEAAGRycy9lMm9Eb2MueG1sUEsFBgAAAAAGAAYAWQEAAK8FAAAAAA==&#10;">
                <v:fill on="t" focussize="0,0"/>
                <v:stroke color="#000000" joinstyle="miter"/>
                <v:imagedata o:title=""/>
                <o:lock v:ext="edit" aspectratio="f"/>
                <v:textbox>
                  <w:txbxContent>
                    <w:p w14:paraId="7E8398E4">
                      <w:pPr>
                        <w:ind w:firstLine="422" w:firstLineChars="200"/>
                        <w:rPr>
                          <w:rFonts w:ascii="仿宋" w:hAnsi="仿宋" w:eastAsia="仿宋" w:cs="仿宋"/>
                          <w:b/>
                          <w:color w:val="FF0000"/>
                        </w:rPr>
                      </w:pPr>
                    </w:p>
                    <w:p w14:paraId="74F9EC81">
                      <w:pPr>
                        <w:ind w:firstLine="422" w:firstLineChars="200"/>
                        <w:rPr>
                          <w:rFonts w:hint="eastAsia" w:ascii="仿宋" w:hAnsi="仿宋" w:eastAsia="仿宋" w:cs="仿宋"/>
                          <w:b/>
                          <w:color w:val="FF0000"/>
                          <w:lang w:eastAsia="zh-CN"/>
                        </w:rPr>
                      </w:pPr>
                      <w:r>
                        <w:rPr>
                          <w:rFonts w:hint="eastAsia" w:ascii="Times New Roman" w:hAnsi="仿宋" w:eastAsia="仿宋" w:cs="仿宋"/>
                          <w:b/>
                          <w:color w:val="FF0000"/>
                          <w:kern w:val="2"/>
                          <w:sz w:val="21"/>
                          <w:szCs w:val="22"/>
                          <w:lang w:val="en-US" w:eastAsia="zh-CN" w:bidi="ar-SA"/>
                        </w:rPr>
                        <w:t>Advertencia:</w:t>
                      </w:r>
                    </w:p>
                    <w:p w14:paraId="633942D5">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1. El instrumento debe protegerse de la radiación de fuentes de calor de alta temperatura, ya que las temperaturas excesivamente altas o bajas pueden afectar negativamente a su rendimiento operativo y a su vida útil.</w:t>
                      </w:r>
                    </w:p>
                    <w:p w14:paraId="4019DE1D">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2. Evite mirar fijamente el emisor láser durante períodos prolongados para prevenir quemaduras oculares.</w:t>
                      </w:r>
                    </w:p>
                  </w:txbxContent>
                </v:textbox>
              </v:shape>
            </w:pict>
          </mc:Fallback>
        </mc:AlternateContent>
      </w:r>
    </w:p>
    <w:p w14:paraId="43ED2707">
      <w:pPr>
        <w:ind w:firstLine="422" w:firstLineChars="200"/>
        <w:rPr>
          <w:rFonts w:hint="eastAsia" w:ascii="仿宋" w:hAnsi="仿宋" w:eastAsia="仿宋" w:cs="仿宋"/>
          <w:b/>
          <w:color w:val="FF0000"/>
          <w:lang w:eastAsia="zh-CN"/>
        </w:rPr>
      </w:pPr>
      <w:r>
        <w:rPr>
          <w:rFonts w:hint="eastAsia" w:ascii="Times New Roman" w:hAnsi="仿宋" w:eastAsia="仿宋" w:cs="仿宋"/>
          <w:b/>
          <w:color w:val="FF0000"/>
          <w:kern w:val="2"/>
          <w:sz w:val="21"/>
          <w:szCs w:val="22"/>
          <w:lang w:val="en-US" w:eastAsia="zh-CN" w:bidi="ar-SA"/>
        </w:rPr>
        <w:t>Advertencia:</w:t>
      </w:r>
    </w:p>
    <w:p w14:paraId="28BD734E">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1. El instrumento debe protegerse de la radiación de fuentes de calor de alta temperatura, ya que las temperaturas excesivamente altas o bajas pueden afectar negativamente al rendimiento y a la vida útil del transductor. 1. El instrumento debe protegerse de la radiación de fuentes de calor de alta temperatura, ya que las temperaturas excesivamente altas o bajas pueden afectar negativamente al rendimiento y a la vida útil del transductor.</w:t>
      </w:r>
    </w:p>
    <w:p w14:paraId="6C5C6275">
      <w:pPr>
        <w:ind w:left="420"/>
        <w:rPr>
          <w:rFonts w:hint="eastAsia" w:ascii="仿宋" w:hAnsi="仿宋" w:eastAsia="仿宋" w:cs="仿宋"/>
          <w:color w:val="FF0000"/>
          <w:lang w:eastAsia="zh-CN"/>
        </w:rPr>
      </w:pPr>
      <w:r>
        <w:rPr>
          <w:rFonts w:hint="eastAsia" w:ascii="Times New Roman" w:hAnsi="仿宋" w:eastAsia="仿宋" w:cs="仿宋"/>
          <w:color w:val="FF0000"/>
          <w:kern w:val="2"/>
          <w:sz w:val="21"/>
          <w:szCs w:val="22"/>
          <w:lang w:val="en-US" w:eastAsia="zh-CN" w:bidi="ar-SA"/>
        </w:rPr>
        <w:t>2. Evite mirar fijamente el emisor láser durante períodos prolongados para prevenir quemaduras oculares.</w:t>
      </w:r>
    </w:p>
    <w:p w14:paraId="45B8DBA4">
      <w:pPr>
        <w:ind w:firstLine="420" w:firstLineChars="200"/>
        <w:rPr>
          <w:rFonts w:hint="eastAsia" w:ascii="仿宋" w:hAnsi="仿宋" w:eastAsia="仿宋" w:cs="仿宋"/>
          <w:b/>
          <w:color w:val="FF0000"/>
          <w:lang w:eastAsia="zh-CN"/>
        </w:rPr>
      </w:pPr>
      <w:r>
        <w:rPr>
          <w:rFonts w:hint="eastAsia" w:ascii="Times New Roman" w:hAnsi="仿宋" w:eastAsia="仿宋" w:cs="仿宋"/>
          <w:color w:val="FF0000"/>
          <w:kern w:val="2"/>
          <w:sz w:val="21"/>
          <w:szCs w:val="22"/>
          <w:lang w:val="en-US" w:eastAsia="zh-CN" w:bidi="ar-SA"/>
        </w:rPr>
        <w:t>3. El instrumento tiene una carcasa metálica. No lo toque cuando esté encendido para evitar descargas eléctricas.</w:t>
      </w:r>
    </w:p>
    <w:p w14:paraId="3BFB0CFB">
      <w:pPr>
        <w:rPr>
          <w:rFonts w:ascii="黑体" w:hAnsi="黑体" w:eastAsia="黑体" w:cs="仿宋"/>
          <w:szCs w:val="21"/>
        </w:rPr>
      </w:pPr>
    </w:p>
    <w:p w14:paraId="2B354F3C">
      <w:pPr>
        <w:pStyle w:val="4"/>
        <w:rPr>
          <w:rFonts w:hint="eastAsia" w:eastAsia="黑体"/>
          <w:szCs w:val="21"/>
          <w:lang w:eastAsia="zh-CN"/>
        </w:rPr>
      </w:pPr>
      <w:bookmarkStart w:id="9" w:name="_Toc462756353"/>
      <w:bookmarkStart w:id="10" w:name="_Toc97643640"/>
      <w:r>
        <w:rPr>
          <w:rFonts w:hint="eastAsia" w:ascii="Times New Roman" w:hAnsi="Calibri" w:eastAsia="黑体" w:cs="Times New Roman"/>
          <w:b/>
          <w:bCs/>
          <w:kern w:val="2"/>
          <w:sz w:val="21"/>
          <w:szCs w:val="21"/>
          <w:lang w:val="en-US" w:eastAsia="zh-CN" w:bidi="ar-SA"/>
        </w:rPr>
        <w:t>1.3.2 Otras precauciones de seguridad</w:t>
      </w:r>
      <w:bookmarkEnd w:id="9"/>
      <w:bookmarkEnd w:id="10"/>
    </w:p>
    <w:p w14:paraId="6D8D59F8">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1) Este instrumento está clasificado como equipo de precisión. No intente desmontar, modificar ni alterar el dispositivo. Si el instrumento no funciona con normalidad o presenta fallos, póngase en contacto con nosotros.</w:t>
      </w:r>
    </w:p>
    <w:p w14:paraId="0557367D">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2) Si el instrumento se daña accidentalmente, cese de inmediato su funcionamiento, apague el dispositivo tras confirmar la seguridad del entorno, desconecte la alimentación eléctrica y póngase en contacto con nosotros.</w:t>
      </w:r>
    </w:p>
    <w:p w14:paraId="5C31246F">
      <w:pPr>
        <w:widowControl/>
        <w:ind w:firstLine="420" w:firstLineChars="200"/>
        <w:jc w:val="left"/>
        <w:rPr>
          <w:rFonts w:hint="eastAsia" w:ascii="仿宋" w:hAnsi="仿宋" w:eastAsia="仿宋" w:cs="仿宋"/>
          <w:color w:val="000000" w:themeColor="text1"/>
          <w:lang w:eastAsia="zh-CN"/>
          <w14:textFill>
            <w14:solidFill>
              <w14:schemeClr w14:val="tx1"/>
            </w14:solidFill>
          </w14:textFill>
        </w:rPr>
      </w:pPr>
      <w:r>
        <w:rPr>
          <w:rFonts w:hint="eastAsia" w:ascii="Times New Roman" w:hAnsi="仿宋" w:eastAsia="仿宋" w:cs="仿宋"/>
          <w:color w:val="000000" w:themeColor="text1"/>
          <w:kern w:val="2"/>
          <w:sz w:val="21"/>
          <w:szCs w:val="22"/>
          <w:lang w:val="en-US" w:eastAsia="zh-CN" w:bidi="ar-SA"/>
          <w14:textFill>
            <w14:solidFill>
              <w14:schemeClr w14:val="tx1"/>
            </w14:solidFill>
          </w14:textFill>
        </w:rPr>
        <w:t>3) Método de salida: cuando la salida RS485 se conecta a una zona segura, se debe añadir una barrera de seguridad para evitar la entrada de energía externa antes de conectar con otros dispositivos; sin embargo, esto no es necesario cuando se conecta con equipos de seguridad intrínseca.</w:t>
      </w:r>
      <w:bookmarkStart w:id="11" w:name="_Toc462756354"/>
      <w:r>
        <w:rPr>
          <w:rFonts w:hint="eastAsia" w:ascii="Times New Roman" w:hAnsi="仿宋" w:eastAsia="仿宋" w:cs="仿宋"/>
          <w:color w:val="000000" w:themeColor="text1"/>
          <w:kern w:val="2"/>
          <w:sz w:val="21"/>
          <w:szCs w:val="22"/>
          <w:lang w:val="en-US" w:eastAsia="zh-CN" w:bidi="ar-SA"/>
          <w14:textFill>
            <w14:solidFill>
              <w14:schemeClr w14:val="tx1"/>
            </w14:solidFill>
          </w14:textFill>
        </w:rPr>
        <w:t xml:space="preserve"/>
      </w:r>
      <w:bookmarkEnd w:id="11"/>
      <w:r>
        <w:rPr>
          <w:rFonts w:hint="eastAsia" w:ascii="Times New Roman" w:hAnsi="仿宋" w:eastAsia="仿宋" w:cs="仿宋"/>
          <w:color w:val="000000" w:themeColor="text1"/>
          <w:kern w:val="2"/>
          <w:sz w:val="21"/>
          <w:szCs w:val="22"/>
          <w:lang w:val="en-US" w:eastAsia="zh-CN" w:bidi="ar-SA"/>
          <w14:textFill>
            <w14:solidFill>
              <w14:schemeClr w14:val="tx1"/>
            </w14:solidFill>
          </w14:textFill>
        </w:rPr>
        <w:t/>
      </w:r>
    </w:p>
    <w:p w14:paraId="29E75877">
      <w:pPr>
        <w:pStyle w:val="3"/>
        <w:rPr>
          <w:rFonts w:hint="eastAsia" w:eastAsia="黑体"/>
          <w:lang w:eastAsia="zh-CN"/>
        </w:rPr>
      </w:pPr>
      <w:bookmarkStart w:id="12" w:name="_Toc97643641"/>
      <w:r>
        <w:rPr>
          <w:rFonts w:hint="eastAsia" w:ascii="Times New Roman" w:eastAsia="黑体" w:hAnsiTheme="majorHAnsi" w:cstheme="majorBidi"/>
          <w:b/>
          <w:bCs/>
          <w:kern w:val="2"/>
          <w:sz w:val="28"/>
          <w:szCs w:val="32"/>
          <w:lang w:val="en-US" w:eastAsia="zh-CN" w:bidi="ar-SA"/>
        </w:rPr>
        <w:t>1.4 Evitar el uso de componentes defectuosos</w:t>
      </w:r>
      <w:bookmarkEnd w:id="12"/>
    </w:p>
    <w:p w14:paraId="70EB9AEA">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Para minimizar el riesgo de fallos, lea atentamente lo siguiente.</w:t>
      </w:r>
    </w:p>
    <w:p w14:paraId="40E6BB53">
      <w:pPr>
        <w:pStyle w:val="4"/>
        <w:rPr>
          <w:rFonts w:hint="eastAsia" w:eastAsia="黑体"/>
          <w:lang w:eastAsia="zh-CN"/>
        </w:rPr>
      </w:pPr>
      <w:bookmarkStart w:id="13" w:name="_Toc422909516"/>
      <w:bookmarkStart w:id="14" w:name="_Toc504650339"/>
      <w:bookmarkStart w:id="15" w:name="_Toc462756355"/>
      <w:bookmarkStart w:id="16" w:name="_Toc97643642"/>
      <w:r>
        <w:rPr>
          <w:rFonts w:hint="eastAsia" w:ascii="Times New Roman" w:hAnsi="Calibri" w:eastAsia="黑体" w:cs="Times New Roman"/>
          <w:b/>
          <w:bCs/>
          <w:kern w:val="2"/>
          <w:sz w:val="21"/>
          <w:szCs w:val="32"/>
          <w:lang w:val="en-US" w:eastAsia="zh-CN" w:bidi="ar-SA"/>
        </w:rPr>
        <w:t>1.4.1 Al utilizar los instrumentos en condiciones meteorológicas adversas, se deben observar las siguientes precauciones</w:t>
      </w:r>
      <w:bookmarkEnd w:id="13"/>
      <w:r>
        <w:rPr>
          <w:rFonts w:hint="eastAsia" w:ascii="Times New Roman" w:hAnsi="Calibri" w:eastAsia="黑体" w:cs="Times New Roman"/>
          <w:b/>
          <w:bCs/>
          <w:kern w:val="2"/>
          <w:sz w:val="21"/>
          <w:szCs w:val="32"/>
          <w:lang w:val="en-US" w:eastAsia="zh-CN" w:bidi="ar-SA"/>
        </w:rPr>
        <w:t/>
      </w:r>
      <w:bookmarkEnd w:id="14"/>
      <w:bookmarkEnd w:id="15"/>
      <w:bookmarkEnd w:id="16"/>
    </w:p>
    <w:p w14:paraId="03C0F731">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Este instrumento está diseñado para evitar que las gotas de agua que caen verticalmente entren en su interior. Para condiciones meteorológicas húmedas como lluvia o nieve, así como entornos con niebla y altas concentraciones de partículas, se deben tener en cuenta las siguientes precauciones y soluciones específicas:</w:t>
      </w:r>
    </w:p>
    <w:p w14:paraId="250B05BF">
      <w:pPr>
        <w:ind w:firstLine="420" w:firstLineChars="200"/>
        <w:rPr>
          <w:rFonts w:hint="eastAsia" w:ascii="仿宋" w:hAnsi="仿宋" w:eastAsia="仿宋"/>
          <w:lang w:eastAsia="zh-CN"/>
        </w:rPr>
      </w:pPr>
      <w:r>
        <w:rPr>
          <w:rFonts w:hint="eastAsia" w:ascii="Times New Roman" w:hAnsi="仿宋" w:eastAsia="仿宋" w:cs="Times New Roman"/>
          <w:kern w:val="2"/>
          <w:sz w:val="21"/>
          <w:szCs w:val="22"/>
          <w:lang w:val="en-US" w:eastAsia="zh-CN" w:bidi="ar-SA"/>
        </w:rPr>
        <w:t>Los paneles de ventana en forma de tambor (lentes de vidrio) del dispositivo receptor y transmisor del producto pueden acumular gotas de agua durante condiciones meteorológicas húmedas como lluvia o nieve, lo que puede interferir en la recepción de la señal y en la intensidad de la señal, afectando así el funcionamiento normal. Las gotas de agua acumuladas deben limpiarse suavemente con un paño de algodón.</w:t>
      </w:r>
    </w:p>
    <w:p w14:paraId="7F976B18">
      <w:pPr>
        <w:rPr>
          <w:rFonts w:ascii="仿宋" w:hAnsi="仿宋" w:eastAsia="仿宋" w:cs="仿宋"/>
        </w:rPr>
      </w:pPr>
    </w:p>
    <w:p w14:paraId="62056023">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② Durante condiciones meteorológicas con altos niveles de polvo, es esencial limpiar suavemente el polvo adherido a la superficie del espejo del dispositivo receptor/transmisor con un paño de algodón suave y húmedo para evitar interferencias en el funcionamiento normal del producto.</w:t>
      </w:r>
    </w:p>
    <w:p w14:paraId="2C5F9C20">
      <w:pPr>
        <w:pStyle w:val="2"/>
        <w:rPr>
          <w:rFonts w:hint="eastAsia" w:eastAsia="黑体"/>
          <w:lang w:eastAsia="zh-CN"/>
        </w:rPr>
      </w:pPr>
      <w:bookmarkStart w:id="17" w:name="_Toc462756356"/>
      <w:bookmarkStart w:id="18" w:name="_Toc97643643"/>
      <w:r>
        <w:rPr>
          <w:rFonts w:hint="eastAsia" w:ascii="Times New Roman" w:hAnsi="Calibri" w:eastAsia="黑体" w:cs="Times New Roman"/>
          <w:b/>
          <w:bCs/>
          <w:kern w:val="44"/>
          <w:sz w:val="32"/>
          <w:szCs w:val="44"/>
          <w:lang w:val="en-US" w:eastAsia="zh-CN" w:bidi="ar-SA"/>
        </w:rPr>
        <w:t>II. Introducción de los componentes</w:t>
      </w:r>
      <w:bookmarkEnd w:id="17"/>
      <w:bookmarkEnd w:id="18"/>
    </w:p>
    <w:p w14:paraId="2DC132AC">
      <w:pPr>
        <w:pStyle w:val="3"/>
        <w:rPr>
          <w:rFonts w:hint="eastAsia" w:eastAsia="黑体"/>
          <w:szCs w:val="28"/>
          <w:lang w:eastAsia="zh-CN"/>
        </w:rPr>
      </w:pPr>
      <w:bookmarkStart w:id="19" w:name="_Toc462756357"/>
      <w:bookmarkStart w:id="20" w:name="_Toc97643644"/>
      <w:r>
        <w:rPr>
          <w:rFonts w:hint="eastAsia" w:ascii="Times New Roman" w:eastAsia="黑体" w:hAnsiTheme="majorHAnsi" w:cstheme="majorBidi"/>
          <w:b/>
          <w:bCs/>
          <w:kern w:val="2"/>
          <w:sz w:val="28"/>
          <w:szCs w:val="28"/>
          <w:lang w:val="en-US" w:eastAsia="zh-CN" w:bidi="ar-SA"/>
        </w:rPr>
        <w:t>2.1 Descripción general del producto</w:t>
      </w:r>
      <w:bookmarkEnd w:id="19"/>
      <w:bookmarkEnd w:id="20"/>
    </w:p>
    <w:p w14:paraId="43A4F1D7">
      <w:pPr>
        <w:pStyle w:val="12"/>
        <w:spacing w:before="0" w:beforeAutospacing="0" w:after="0" w:afterAutospacing="0"/>
        <w:ind w:firstLine="420" w:firstLineChars="200"/>
        <w:rPr>
          <w:rFonts w:hint="eastAsia" w:ascii="仿宋" w:hAnsi="仿宋" w:eastAsia="仿宋" w:cs="仿宋"/>
          <w:sz w:val="21"/>
          <w:szCs w:val="21"/>
          <w:lang w:eastAsia="zh-CN"/>
        </w:rPr>
      </w:pPr>
      <w:r>
        <w:rPr>
          <w:rFonts w:hint="eastAsia" w:ascii="Times New Roman" w:hAnsi="仿宋" w:eastAsia="仿宋" w:cs="仿宋"/>
          <w:kern w:val="0"/>
          <w:sz w:val="21"/>
          <w:szCs w:val="21"/>
          <w:lang w:val="en-US" w:eastAsia="zh-CN" w:bidi="ar-SA"/>
        </w:rPr>
        <w:t>Este producto consta de una unidad principal y un equipo maestro, y utiliza el principio de espectroscopia de absorción láser para realizar una monitorización remota en tiempo real y en línea de la concentración de gas metano dentro del área de detección del dispositivo transceptor láser. Es un instrumento equipado con funciones como la adquisición, conversión y transmisión de señales.</w:t>
      </w:r>
    </w:p>
    <w:p w14:paraId="020E9E6F">
      <w:pPr>
        <w:pStyle w:val="4"/>
        <w:rPr>
          <w:rFonts w:hint="eastAsia" w:eastAsia="黑体"/>
          <w:szCs w:val="21"/>
          <w:lang w:eastAsia="zh-CN"/>
        </w:rPr>
      </w:pPr>
      <w:bookmarkStart w:id="21" w:name="_Toc462756358"/>
      <w:bookmarkStart w:id="22" w:name="_Toc97643645"/>
      <w:r>
        <w:rPr>
          <w:rFonts w:hint="eastAsia" w:ascii="Times New Roman" w:hAnsi="Calibri" w:eastAsia="黑体" w:cs="Times New Roman"/>
          <w:b/>
          <w:bCs/>
          <w:kern w:val="2"/>
          <w:sz w:val="21"/>
          <w:szCs w:val="21"/>
          <w:lang w:val="en-US" w:eastAsia="zh-CN" w:bidi="ar-SA"/>
        </w:rPr>
        <w:t>2.1.1 Principio de detección</w:t>
      </w:r>
      <w:bookmarkEnd w:id="21"/>
      <w:bookmarkEnd w:id="22"/>
    </w:p>
    <w:p w14:paraId="49408BA9">
      <w:pPr>
        <w:pStyle w:val="12"/>
        <w:spacing w:before="0" w:beforeAutospacing="0" w:after="0" w:afterAutospacing="0"/>
        <w:ind w:firstLine="420" w:firstLineChars="200"/>
        <w:rPr>
          <w:rFonts w:hint="eastAsia" w:ascii="仿宋" w:hAnsi="仿宋" w:eastAsia="仿宋" w:cs="仿宋"/>
          <w:sz w:val="21"/>
          <w:szCs w:val="21"/>
          <w:lang w:eastAsia="zh-CN"/>
        </w:rPr>
      </w:pPr>
      <w:r>
        <w:rPr>
          <w:rFonts w:hint="eastAsia" w:ascii="Times New Roman" w:hAnsi="仿宋" w:eastAsia="仿宋" w:cs="仿宋"/>
          <w:kern w:val="0"/>
          <w:sz w:val="21"/>
          <w:szCs w:val="21"/>
          <w:lang w:val="en-US" w:eastAsia="zh-CN" w:bidi="ar-SA"/>
        </w:rPr>
        <w:t>El mecanismo de detección aprovecha plenamente las características de absorción del gas metano en una longitud de onda específica. Cuando el haz de detección se encuentra con moléculas de metano, una parte del haz es absorbida por ellas. Midiendo la tasa de absorción, se puede determinar la concentración de metano.</w:t>
      </w:r>
    </w:p>
    <w:p w14:paraId="6737FE8B">
      <w:pPr>
        <w:pStyle w:val="3"/>
        <w:rPr>
          <w:rFonts w:hint="eastAsia" w:eastAsia="黑体"/>
          <w:szCs w:val="28"/>
          <w:lang w:eastAsia="zh-CN"/>
        </w:rPr>
      </w:pPr>
      <w:bookmarkStart w:id="23" w:name="_Toc97643646"/>
      <w:bookmarkStart w:id="24" w:name="_Toc462756359"/>
      <w:r>
        <w:rPr>
          <w:rFonts w:hint="eastAsia" w:ascii="Times New Roman" w:eastAsia="黑体" w:hAnsiTheme="majorHAnsi" w:cstheme="majorBidi"/>
          <w:b/>
          <w:bCs/>
          <w:kern w:val="2"/>
          <w:sz w:val="28"/>
          <w:szCs w:val="28"/>
          <w:lang w:val="en-US" w:eastAsia="zh-CN" w:bidi="ar-SA"/>
        </w:rPr>
        <w:t>2.2 Vista frontal</w:t>
      </w:r>
      <w:bookmarkEnd w:id="23"/>
      <w:bookmarkEnd w:id="24"/>
    </w:p>
    <w:p w14:paraId="401F86AE">
      <w:pPr>
        <w:rPr>
          <w:rFonts w:ascii="仿宋" w:hAnsi="仿宋" w:eastAsia="仿宋" w:cs="仿宋"/>
        </w:rPr>
      </w:pPr>
    </w:p>
    <w:p w14:paraId="0292455E">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 xml:space="preserve">Cabezal PTZ</w:t>
      </w:r>
    </w:p>
    <w:p w14:paraId="02D159E6">
      <w:pPr>
        <w:rPr>
          <w:rFonts w:hint="eastAsia" w:ascii="仿宋" w:hAnsi="仿宋" w:eastAsia="仿宋" w:cs="仿宋"/>
          <w:lang w:eastAsia="zh-CN"/>
        </w:rPr>
      </w:pPr>
      <w:r>
        <w:rPr>
          <w:rFonts w:ascii="Times New Roman" w:hAnsi="仿宋" w:eastAsia="仿宋" w:cs="仿宋"/>
        </w:rPr>
        <mc:AlternateContent>
          <mc:Choice Requires="wps">
            <w:drawing>
              <wp:anchor distT="0" distB="0" distL="114300" distR="114300" simplePos="0" relativeHeight="251667456" behindDoc="0" locked="0" layoutInCell="1" allowOverlap="1">
                <wp:simplePos x="0" y="0"/>
                <wp:positionH relativeFrom="column">
                  <wp:posOffset>1459230</wp:posOffset>
                </wp:positionH>
                <wp:positionV relativeFrom="paragraph">
                  <wp:posOffset>162560</wp:posOffset>
                </wp:positionV>
                <wp:extent cx="31750" cy="1891665"/>
                <wp:effectExtent l="6350" t="0" r="12700" b="13335"/>
                <wp:wrapNone/>
                <wp:docPr id="42" name="自选图形 11"/>
                <wp:cNvGraphicFramePr/>
                <a:graphic xmlns:a="http://schemas.openxmlformats.org/drawingml/2006/main">
                  <a:graphicData uri="http://schemas.microsoft.com/office/word/2010/wordprocessingShape">
                    <wps:wsp>
                      <wps:cNvCnPr/>
                      <wps:spPr>
                        <a:xfrm flipV="1">
                          <a:off x="0" y="0"/>
                          <a:ext cx="31750" cy="1891665"/>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11" o:spid="_x0000_s1026" o:spt="32" type="#_x0000_t32" style="position:absolute;left:0pt;flip:y;margin-left:114.9pt;margin-top:12.8pt;height:148.95pt;width:2.5pt;z-index:251667456;mso-width-relative:page;mso-height-relative:page;" filled="f" stroked="t" coordsize="21600,21600" o:gfxdata="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PUaES2AAAAAoBAAAPAAAAAAAAAAEAIAAAACIAAABk&#10;cnMvZG93bnJldi54bWxQSwECFAAUAAAACACHTuJANTantwYCAAABBAAADgAAAAAAAAABACAAAAAn&#10;AQAAZHJzL2Uyb0RvYy54bWxQSwUGAAAAAAYABgBZAQAAnwUAAAAA&#10;">
                <v:fill on="f" focussize="0,0"/>
                <v:stroke color="#000000" joinstyle="round"/>
                <v:imagedata o:title=""/>
                <o:lock v:ext="edit" aspectratio="f"/>
              </v:shape>
            </w:pict>
          </mc:Fallback>
        </mc:AlternateContent>
      </w:r>
      <w:r>
        <w:rPr>
          <w:rFonts w:ascii="Times New Roman" w:hAnsi="仿宋" w:eastAsia="仿宋" w:cs="仿宋"/>
        </w:rPr>
        <mc:AlternateContent>
          <mc:Choice Requires="wps">
            <w:drawing>
              <wp:anchor distT="0" distB="0" distL="114300" distR="114300" simplePos="0" relativeHeight="251666432" behindDoc="0" locked="0" layoutInCell="1" allowOverlap="1">
                <wp:simplePos x="0" y="0"/>
                <wp:positionH relativeFrom="column">
                  <wp:posOffset>2698750</wp:posOffset>
                </wp:positionH>
                <wp:positionV relativeFrom="paragraph">
                  <wp:posOffset>0</wp:posOffset>
                </wp:positionV>
                <wp:extent cx="20320" cy="1548130"/>
                <wp:effectExtent l="6350" t="0" r="24130" b="1270"/>
                <wp:wrapNone/>
                <wp:docPr id="40" name="自选图形 9"/>
                <wp:cNvGraphicFramePr/>
                <a:graphic xmlns:a="http://schemas.openxmlformats.org/drawingml/2006/main">
                  <a:graphicData uri="http://schemas.microsoft.com/office/word/2010/wordprocessingShape">
                    <wps:wsp>
                      <wps:cNvCnPr/>
                      <wps:spPr>
                        <a:xfrm flipV="1">
                          <a:off x="0" y="0"/>
                          <a:ext cx="20320" cy="154813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9" o:spid="_x0000_s1026" o:spt="32" type="#_x0000_t32" style="position:absolute;left:0pt;flip:y;margin-left:212.5pt;margin-top:0pt;height:121.9pt;width:1.6pt;z-index:251666432;mso-width-relative:page;mso-height-relative:page;" filled="f" stroked="t" coordsize="21600,21600" o:gfxdata="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&#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a4M1+1wAAAAgBAAAPAAAAAAAAAAEAIAAAACIAAABk&#10;cnMvZG93bnJldi54bWxQSwECFAAUAAAACACHTuJA6SKMcwcCAAAABAAADgAAAAAAAAABACAAAAAm&#10;AQAAZHJzL2Uyb0RvYy54bWxQSwUGAAAAAAYABgBZAQAAnwUAAAAA&#10;">
                <v:fill on="f" focussize="0,0"/>
                <v:stroke color="#000000" joinstyle="round"/>
                <v:imagedata o:title=""/>
                <o:lock v:ext="edit" aspectratio="f"/>
              </v:shape>
            </w:pict>
          </mc:Fallback>
        </mc:AlternateContent>
      </w:r>
      <w:r>
        <w:rPr>
          <w:rFonts w:hint="eastAsia" w:ascii="Times New Roman" w:hAnsi="仿宋" w:eastAsia="仿宋" w:cs="仿宋"/>
          <w:kern w:val="2"/>
          <w:sz w:val="21"/>
          <w:szCs w:val="22"/>
          <w:lang w:val="en-US" w:eastAsia="zh-CN" w:bidi="ar-SA"/>
        </w:rPr>
        <w:t xml:space="preserve">Dispositivo de transmisión y recepción Cámara Dispositivo de transmisión y recepción Cámara</w:t>
      </w:r>
    </w:p>
    <w:p w14:paraId="6F2AA73D">
      <w:pPr>
        <w:rPr>
          <w:rFonts w:ascii="仿宋" w:hAnsi="仿宋" w:eastAsia="仿宋" w:cs="仿宋"/>
        </w:rPr>
      </w:pPr>
      <w:r>
        <w:rPr>
          <w:rFonts w:ascii="仿宋" w:hAnsi="仿宋" w:eastAsia="仿宋" w:cs="仿宋"/>
        </w:rPr>
        <mc:AlternateContent>
          <mc:Choice Requires="wps">
            <w:drawing>
              <wp:anchor distT="0" distB="0" distL="114300" distR="114300" simplePos="0" relativeHeight="251660288" behindDoc="0" locked="0" layoutInCell="1" allowOverlap="1">
                <wp:simplePos x="0" y="0"/>
                <wp:positionH relativeFrom="column">
                  <wp:posOffset>4152265</wp:posOffset>
                </wp:positionH>
                <wp:positionV relativeFrom="paragraph">
                  <wp:posOffset>12065</wp:posOffset>
                </wp:positionV>
                <wp:extent cx="6985" cy="1891665"/>
                <wp:effectExtent l="6350" t="0" r="12065" b="13335"/>
                <wp:wrapNone/>
                <wp:docPr id="11" name="自选图形 10"/>
                <wp:cNvGraphicFramePr/>
                <a:graphic xmlns:a="http://schemas.openxmlformats.org/drawingml/2006/main">
                  <a:graphicData uri="http://schemas.microsoft.com/office/word/2010/wordprocessingShape">
                    <wps:wsp>
                      <wps:cNvCnPr/>
                      <wps:spPr>
                        <a:xfrm flipV="1">
                          <a:off x="0" y="0"/>
                          <a:ext cx="6985" cy="1891665"/>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10" o:spid="_x0000_s1026" o:spt="32" type="#_x0000_t32" style="position:absolute;left:0pt;flip:y;margin-left:326.95pt;margin-top:0.95pt;height:148.95pt;width:0.55pt;z-index:251660288;mso-width-relative:page;mso-height-relative:page;" filled="f" stroked="t" coordsize="21600,21600" o:gfxdata="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J2Pc81wAAAAkBAAAPAAAAAAAAAAEAIAAAACIAAABkcnMvZG93&#10;bnJldi54bWxQSwECFAAUAAAACACHTuJAQW4CgwECAAAABAAADgAAAAAAAAABACAAAAAmAQAAZHJz&#10;L2Uyb0RvYy54bWxQSwUGAAAAAAYABgBZAQAAmQUAAAAA&#10;">
                <v:fill on="f" focussize="0,0"/>
                <v:stroke color="#000000" joinstyle="round"/>
                <v:imagedata o:title=""/>
                <o:lock v:ext="edit" aspectratio="f"/>
              </v:shape>
            </w:pict>
          </mc:Fallback>
        </mc:AlternateContent>
      </w:r>
    </w:p>
    <w:p w14:paraId="257F8964">
      <w:pPr>
        <w:jc w:val="center"/>
        <w:rPr>
          <w:rFonts w:ascii="仿宋" w:hAnsi="仿宋" w:eastAsia="仿宋" w:cs="仿宋"/>
        </w:rPr>
      </w:pPr>
      <w:r>
        <w:rPr>
          <w:rFonts w:ascii="仿宋" w:hAnsi="仿宋" w:eastAsia="仿宋" w:cs="仿宋"/>
        </w:rPr>
        <w:drawing>
          <wp:inline distT="0" distB="0" distL="0" distR="0">
            <wp:extent cx="4126230" cy="367157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138641" cy="3682289"/>
                    </a:xfrm>
                    <a:prstGeom prst="rect">
                      <a:avLst/>
                    </a:prstGeom>
                    <a:noFill/>
                    <a:ln>
                      <a:noFill/>
                    </a:ln>
                  </pic:spPr>
                </pic:pic>
              </a:graphicData>
            </a:graphic>
          </wp:inline>
        </w:drawing>
      </w:r>
    </w:p>
    <w:p w14:paraId="30955A9E">
      <w:pPr>
        <w:rPr>
          <w:rFonts w:ascii="黑体" w:hAnsi="黑体" w:eastAsia="黑体"/>
          <w:sz w:val="28"/>
          <w:szCs w:val="28"/>
        </w:rPr>
      </w:pPr>
    </w:p>
    <w:p w14:paraId="66F4CCC2">
      <w:pPr>
        <w:rPr>
          <w:rFonts w:ascii="黑体" w:hAnsi="黑体" w:eastAsia="黑体"/>
          <w:sz w:val="28"/>
          <w:szCs w:val="28"/>
        </w:rPr>
      </w:pPr>
    </w:p>
    <w:p w14:paraId="2F9D7D98">
      <w:pPr>
        <w:pStyle w:val="3"/>
        <w:rPr>
          <w:rFonts w:hint="eastAsia" w:eastAsia="黑体"/>
          <w:lang w:eastAsia="zh-CN"/>
        </w:rPr>
      </w:pPr>
      <w:bookmarkStart w:id="25" w:name="_Toc462756360"/>
      <w:bookmarkStart w:id="26" w:name="_Toc97643647"/>
      <w:r>
        <w:rPr>
          <w:rFonts w:hint="eastAsia" w:ascii="Times New Roman" w:eastAsia="黑体" w:hAnsiTheme="majorHAnsi" w:cstheme="majorBidi"/>
          <w:b/>
          <w:bCs/>
          <w:kern w:val="2"/>
          <w:sz w:val="28"/>
          <w:szCs w:val="32"/>
          <w:lang w:val="en-US" w:eastAsia="zh-CN" w:bidi="ar-SA"/>
        </w:rPr>
        <w:t>2.3 Caja antideflagrante</w:t>
      </w:r>
      <w:bookmarkEnd w:id="25"/>
      <w:bookmarkEnd w:id="26"/>
    </w:p>
    <w:p w14:paraId="59E5DDA5">
      <w:pPr>
        <w:jc w:val="center"/>
        <w:rPr>
          <w:rFonts w:ascii="黑体" w:hAnsi="黑体" w:eastAsia="黑体"/>
          <w:sz w:val="28"/>
          <w:szCs w:val="28"/>
        </w:rPr>
      </w:pPr>
      <w:r>
        <w:drawing>
          <wp:inline distT="0" distB="0" distL="0" distR="0">
            <wp:extent cx="2027555" cy="265811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2040943" cy="2675798"/>
                    </a:xfrm>
                    <a:prstGeom prst="rect">
                      <a:avLst/>
                    </a:prstGeom>
                  </pic:spPr>
                </pic:pic>
              </a:graphicData>
            </a:graphic>
          </wp:inline>
        </w:drawing>
      </w:r>
    </w:p>
    <w:p w14:paraId="74C7EAEF">
      <w:pPr>
        <w:rPr>
          <w:rFonts w:ascii="黑体" w:hAnsi="黑体" w:eastAsia="黑体"/>
          <w:szCs w:val="21"/>
        </w:rPr>
      </w:pPr>
    </w:p>
    <w:p w14:paraId="7AAC90E9">
      <w:pPr>
        <w:pStyle w:val="3"/>
        <w:rPr>
          <w:rFonts w:hint="eastAsia" w:eastAsia="黑体"/>
          <w:lang w:eastAsia="zh-CN"/>
        </w:rPr>
      </w:pPr>
      <w:bookmarkStart w:id="27" w:name="_Toc97643648"/>
      <w:r>
        <w:rPr>
          <w:rFonts w:hint="eastAsia" w:ascii="Times New Roman" w:eastAsia="黑体" w:hAnsiTheme="majorHAnsi" w:cstheme="majorBidi"/>
          <w:b/>
          <w:bCs/>
          <w:kern w:val="2"/>
          <w:sz w:val="28"/>
          <w:szCs w:val="32"/>
          <w:lang w:val="en-US" w:eastAsia="zh-CN" w:bidi="ar-SA"/>
        </w:rPr>
        <w:t>2.4 Dimensiones de la unidad PTZ y dimensiones del espacio de instalación</w:t>
      </w:r>
      <w:bookmarkEnd w:id="27"/>
    </w:p>
    <w:p w14:paraId="42A1A093">
      <w:pPr>
        <w:widowControl/>
        <w:jc w:val="left"/>
        <w:rPr>
          <w:rFonts w:ascii="黑体" w:hAnsi="黑体" w:eastAsia="黑体"/>
          <w:szCs w:val="21"/>
        </w:rPr>
      </w:pPr>
    </w:p>
    <w:p w14:paraId="1C9CC90A">
      <w:pPr>
        <w:widowControl/>
        <w:jc w:val="left"/>
        <w:rPr>
          <w:rFonts w:ascii="黑体" w:hAnsi="黑体" w:eastAsia="黑体"/>
          <w:szCs w:val="21"/>
        </w:rPr>
      </w:pPr>
      <w:r>
        <w:rPr>
          <w:rFonts w:ascii="黑体" w:hAnsi="黑体" w:eastAsia="黑体"/>
          <w:szCs w:val="21"/>
        </w:rPr>
        <w:drawing>
          <wp:inline distT="0" distB="0" distL="0" distR="0">
            <wp:extent cx="2422525" cy="217043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430508" cy="2177562"/>
                    </a:xfrm>
                    <a:prstGeom prst="rect">
                      <a:avLst/>
                    </a:prstGeom>
                    <a:noFill/>
                    <a:ln>
                      <a:noFill/>
                    </a:ln>
                  </pic:spPr>
                </pic:pic>
              </a:graphicData>
            </a:graphic>
          </wp:inline>
        </w:drawing>
      </w:r>
      <w:r>
        <w:rPr>
          <w:rFonts w:hint="eastAsia" w:ascii="黑体" w:hAnsi="黑体" w:eastAsia="黑体"/>
          <w:szCs w:val="21"/>
        </w:rPr>
        <w:drawing>
          <wp:inline distT="0" distB="0" distL="0" distR="0">
            <wp:extent cx="2433955" cy="196342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444397" cy="1971973"/>
                    </a:xfrm>
                    <a:prstGeom prst="rect">
                      <a:avLst/>
                    </a:prstGeom>
                    <a:noFill/>
                    <a:ln>
                      <a:noFill/>
                    </a:ln>
                  </pic:spPr>
                </pic:pic>
              </a:graphicData>
            </a:graphic>
          </wp:inline>
        </w:drawing>
      </w:r>
    </w:p>
    <w:p w14:paraId="4F9FEDCF">
      <w:pPr>
        <w:widowControl/>
        <w:jc w:val="center"/>
        <w:rPr>
          <w:rFonts w:hint="eastAsia" w:ascii="黑体" w:hAnsi="黑体" w:eastAsia="黑体"/>
          <w:szCs w:val="21"/>
          <w:lang w:eastAsia="zh-CN"/>
        </w:rPr>
      </w:pPr>
      <w:r>
        <w:rPr>
          <w:rFonts w:hint="eastAsia" w:ascii="Times New Roman" w:hAnsi="黑体" w:eastAsia="黑体" w:cs="Times New Roman"/>
          <w:kern w:val="2"/>
          <w:sz w:val="21"/>
          <w:szCs w:val="21"/>
          <w:lang w:val="en-US" w:eastAsia="zh-CN" w:bidi="ar-SA"/>
        </w:rPr>
        <w:t>dibujo de dimensiones generales</w:t>
      </w:r>
    </w:p>
    <w:p w14:paraId="1486512D">
      <w:pPr>
        <w:widowControl/>
        <w:jc w:val="center"/>
        <w:rPr>
          <w:rFonts w:ascii="黑体" w:hAnsi="黑体" w:eastAsia="黑体"/>
          <w:szCs w:val="21"/>
        </w:rPr>
      </w:pPr>
    </w:p>
    <w:p w14:paraId="71108DC5">
      <w:pPr>
        <w:widowControl/>
        <w:jc w:val="center"/>
        <w:rPr>
          <w:rFonts w:ascii="黑体" w:hAnsi="黑体" w:eastAsia="黑体"/>
          <w:szCs w:val="21"/>
        </w:rPr>
      </w:pPr>
    </w:p>
    <w:p w14:paraId="7FBAC44C">
      <w:pPr>
        <w:widowControl/>
        <w:jc w:val="center"/>
        <w:rPr>
          <w:rFonts w:ascii="黑体" w:hAnsi="黑体" w:eastAsia="黑体"/>
          <w:szCs w:val="21"/>
        </w:rPr>
      </w:pPr>
    </w:p>
    <w:p w14:paraId="770109EE">
      <w:pPr>
        <w:pStyle w:val="2"/>
        <w:rPr>
          <w:rFonts w:hint="eastAsia" w:eastAsia="黑体"/>
          <w:lang w:eastAsia="zh-CN"/>
        </w:rPr>
      </w:pPr>
      <w:bookmarkStart w:id="28" w:name="_Toc97643649"/>
      <w:bookmarkStart w:id="29" w:name="_Toc462756366"/>
      <w:r>
        <w:rPr>
          <w:rFonts w:hint="eastAsia" w:ascii="Times New Roman" w:hAnsi="Calibri" w:eastAsia="黑体" w:cs="Times New Roman"/>
          <w:b/>
          <w:bCs/>
          <w:kern w:val="44"/>
          <w:sz w:val="32"/>
          <w:szCs w:val="44"/>
          <w:lang w:val="en-US" w:eastAsia="zh-CN" w:bidi="ar-SA"/>
        </w:rPr>
        <w:t>III. Procedimientos de operación de instalación</w:t>
      </w:r>
      <w:bookmarkEnd w:id="28"/>
      <w:bookmarkEnd w:id="29"/>
    </w:p>
    <w:p w14:paraId="5C4B915C">
      <w:pPr>
        <w:pStyle w:val="3"/>
        <w:rPr>
          <w:rFonts w:hint="eastAsia" w:eastAsia="黑体"/>
          <w:lang w:eastAsia="zh-CN"/>
        </w:rPr>
      </w:pPr>
      <w:bookmarkStart w:id="30" w:name="_Toc97643650"/>
      <w:bookmarkStart w:id="31" w:name="_Toc462756367"/>
      <w:r>
        <w:rPr>
          <w:rFonts w:hint="eastAsia" w:ascii="Times New Roman" w:eastAsia="黑体" w:hAnsiTheme="majorHAnsi" w:cstheme="majorBidi"/>
          <w:b/>
          <w:bCs/>
          <w:kern w:val="2"/>
          <w:sz w:val="28"/>
          <w:szCs w:val="32"/>
          <w:lang w:val="en-US" w:eastAsia="zh-CN" w:bidi="ar-SA"/>
        </w:rPr>
        <w:t>3.1 Procedimientos de operación de instalación</w:t>
      </w:r>
      <w:bookmarkEnd w:id="30"/>
      <w:bookmarkEnd w:id="31"/>
    </w:p>
    <w:p w14:paraId="64301943">
      <w:pPr>
        <w:ind w:firstLine="420" w:firstLineChars="200"/>
        <w:rPr>
          <w:rFonts w:hint="eastAsia" w:ascii="仿宋" w:hAnsi="仿宋" w:eastAsia="仿宋"/>
          <w:szCs w:val="21"/>
          <w:lang w:eastAsia="zh-CN"/>
        </w:rPr>
      </w:pPr>
      <w:r>
        <w:rPr>
          <w:rFonts w:hint="eastAsia" w:ascii="Times New Roman" w:hAnsi="仿宋" w:eastAsia="仿宋" w:cs="Times New Roman"/>
          <w:kern w:val="2"/>
          <w:sz w:val="21"/>
          <w:szCs w:val="21"/>
          <w:lang w:val="en-US" w:eastAsia="zh-CN" w:bidi="ar-SA"/>
        </w:rPr>
        <w:t>1) En primer lugar, instale este equipo en el lugar designado;</w:t>
      </w:r>
    </w:p>
    <w:p w14:paraId="1AD0F3D6">
      <w:pPr>
        <w:ind w:firstLine="420" w:firstLineChars="200"/>
        <w:rPr>
          <w:rFonts w:hint="eastAsia" w:ascii="仿宋" w:hAnsi="仿宋" w:eastAsia="仿宋"/>
          <w:szCs w:val="21"/>
          <w:lang w:eastAsia="zh-CN"/>
        </w:rPr>
      </w:pPr>
      <w:r>
        <w:rPr>
          <w:rFonts w:hint="eastAsia" w:ascii="Times New Roman" w:hAnsi="仿宋" w:eastAsia="仿宋" w:cs="Times New Roman"/>
          <w:kern w:val="2"/>
          <w:sz w:val="21"/>
          <w:szCs w:val="21"/>
          <w:lang w:val="en-US" w:eastAsia="zh-CN" w:bidi="ar-SA"/>
        </w:rPr>
        <w:t>2) Conecte la salida del PTZ a la caja antideflagrante mediante una manguera antideflagrante. La caja antideflagrante proporciona alimentación eléctrica de 220V, interfaz RS485 e interfaz de red de vídeo.</w:t>
      </w:r>
    </w:p>
    <w:p w14:paraId="1A5FB46C">
      <w:pPr>
        <w:ind w:firstLine="420" w:firstLineChars="200"/>
        <w:rPr>
          <w:rFonts w:hint="eastAsia" w:ascii="仿宋" w:hAnsi="仿宋" w:eastAsia="仿宋"/>
          <w:szCs w:val="21"/>
          <w:lang w:eastAsia="zh-CN"/>
        </w:rPr>
      </w:pPr>
      <w:r>
        <w:rPr>
          <w:rFonts w:hint="eastAsia" w:ascii="Times New Roman" w:hAnsi="仿宋" w:eastAsia="仿宋" w:cs="Times New Roman"/>
          <w:kern w:val="2"/>
          <w:sz w:val="21"/>
          <w:szCs w:val="21"/>
          <w:lang w:val="en-US" w:eastAsia="zh-CN" w:bidi="ar-SA"/>
        </w:rPr>
        <w:t>3) Conecte el cable de alimentación externo de CA 220V a un extremo del interruptor antideflagrante y, a continuación, conecte el cable de alimentación de salida del interruptor a una toma de 220V.</w:t>
      </w:r>
    </w:p>
    <w:p w14:paraId="2DA44565">
      <w:pPr>
        <w:ind w:firstLine="420" w:firstLineChars="200"/>
        <w:rPr>
          <w:rFonts w:hint="eastAsia" w:ascii="仿宋" w:hAnsi="仿宋" w:eastAsia="仿宋"/>
          <w:szCs w:val="21"/>
          <w:lang w:eastAsia="zh-CN"/>
        </w:rPr>
      </w:pPr>
      <w:r>
        <w:rPr>
          <w:rFonts w:hint="eastAsia" w:ascii="Times New Roman" w:hAnsi="仿宋" w:eastAsia="仿宋" w:cs="Times New Roman"/>
          <w:kern w:val="2"/>
          <w:sz w:val="21"/>
          <w:szCs w:val="21"/>
          <w:lang w:val="en-US" w:eastAsia="zh-CN" w:bidi="ar-SA"/>
        </w:rPr>
        <w:t>4) Transmita las señales RS485 y las señales de vídeo al terminal de monitorización del ordenador.</w:t>
      </w:r>
    </w:p>
    <w:p w14:paraId="587FC19E">
      <w:pPr>
        <w:jc w:val="center"/>
        <w:rPr>
          <w:rFonts w:ascii="仿宋" w:hAnsi="仿宋" w:eastAsia="仿宋"/>
          <w:szCs w:val="21"/>
        </w:rPr>
      </w:pPr>
      <w:r>
        <w:rPr>
          <w:rFonts w:ascii="仿宋" w:hAnsi="仿宋" w:eastAsia="仿宋"/>
          <w:szCs w:val="21"/>
        </w:rPr>
        <mc:AlternateContent>
          <mc:Choice Requires="wps">
            <w:drawing>
              <wp:anchor distT="0" distB="0" distL="114300" distR="114300" simplePos="0" relativeHeight="251663360" behindDoc="0" locked="0" layoutInCell="1" allowOverlap="1">
                <wp:simplePos x="0" y="0"/>
                <wp:positionH relativeFrom="column">
                  <wp:posOffset>1885950</wp:posOffset>
                </wp:positionH>
                <wp:positionV relativeFrom="paragraph">
                  <wp:posOffset>1643380</wp:posOffset>
                </wp:positionV>
                <wp:extent cx="326390" cy="588010"/>
                <wp:effectExtent l="13970" t="0" r="15240" b="21590"/>
                <wp:wrapNone/>
                <wp:docPr id="33" name="自选图形 31"/>
                <wp:cNvGraphicFramePr/>
                <a:graphic xmlns:a="http://schemas.openxmlformats.org/drawingml/2006/main">
                  <a:graphicData uri="http://schemas.microsoft.com/office/word/2010/wordprocessingShape">
                    <wps:wsp>
                      <wps:cNvCnPr/>
                      <wps:spPr>
                        <a:xfrm flipV="1">
                          <a:off x="0" y="0"/>
                          <a:ext cx="326390" cy="588645"/>
                        </a:xfrm>
                        <a:prstGeom prst="straightConnector1">
                          <a:avLst/>
                        </a:prstGeom>
                        <a:ln w="31750" cap="flat" cmpd="sng">
                          <a:solidFill>
                            <a:srgbClr val="C0504D"/>
                          </a:solidFill>
                          <a:prstDash val="solid"/>
                          <a:headEnd type="none" w="med" len="med"/>
                          <a:tailEnd type="triangle" w="med" len="med"/>
                        </a:ln>
                        <a:effectLst/>
                      </wps:spPr>
                      <wps:bodyPr/>
                    </wps:wsp>
                  </a:graphicData>
                </a:graphic>
              </wp:anchor>
            </w:drawing>
          </mc:Choice>
          <mc:Fallback>
            <w:pict>
              <v:shape id="自选图形 31" o:spid="_x0000_s1026" o:spt="32" type="#_x0000_t32" style="position:absolute;left:0pt;flip:y;margin-left:148.5pt;margin-top:129.4pt;height:46.3pt;width:25.7pt;z-index:251663360;mso-width-relative:page;mso-height-relative:page;" filled="f" stroked="t" coordsize="21600,21600" o:gfxdata="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A4jwH7bAAAACwEAAA8AAAAA&#10;AAAAAQAgAAAAIgAAAGRycy9kb3ducmV2LnhtbFBLAQIUABQAAAAIAIdO4kARbPrJEQIAAAYEAAAO&#10;AAAAAAAAAAEAIAAAACoBAABkcnMvZTJvRG9jLnhtbFBLBQYAAAAABgAGAFkBAACtBQAAAAA=&#10;">
                <v:fill on="f" focussize="0,0"/>
                <v:stroke weight="2.5pt" color="#C0504D" joinstyle="round" endarrow="block"/>
                <v:imagedata o:title=""/>
                <o:lock v:ext="edit" aspectratio="f"/>
              </v:shape>
            </w:pict>
          </mc:Fallback>
        </mc:AlternateContent>
      </w:r>
      <w:r>
        <w:rPr>
          <w:rFonts w:ascii="仿宋" w:hAnsi="仿宋" w:eastAsia="仿宋"/>
          <w:szCs w:val="21"/>
        </w:rPr>
        <mc:AlternateContent>
          <mc:Choice Requires="wps">
            <w:drawing>
              <wp:anchor distT="0" distB="0" distL="114300" distR="114300" simplePos="0" relativeHeight="251662336" behindDoc="0" locked="0" layoutInCell="1" allowOverlap="1">
                <wp:simplePos x="0" y="0"/>
                <wp:positionH relativeFrom="column">
                  <wp:posOffset>192405</wp:posOffset>
                </wp:positionH>
                <wp:positionV relativeFrom="paragraph">
                  <wp:posOffset>1150620</wp:posOffset>
                </wp:positionV>
                <wp:extent cx="811530" cy="476885"/>
                <wp:effectExtent l="8255" t="0" r="18415" b="31115"/>
                <wp:wrapNone/>
                <wp:docPr id="23" name="自选图形 29"/>
                <wp:cNvGraphicFramePr/>
                <a:graphic xmlns:a="http://schemas.openxmlformats.org/drawingml/2006/main">
                  <a:graphicData uri="http://schemas.microsoft.com/office/word/2010/wordprocessingShape">
                    <wps:wsp>
                      <wps:cNvCnPr/>
                      <wps:spPr>
                        <a:xfrm flipV="1">
                          <a:off x="0" y="0"/>
                          <a:ext cx="811530" cy="476885"/>
                        </a:xfrm>
                        <a:prstGeom prst="straightConnector1">
                          <a:avLst/>
                        </a:prstGeom>
                        <a:ln w="31750" cap="flat" cmpd="sng">
                          <a:solidFill>
                            <a:srgbClr val="C0504D"/>
                          </a:solidFill>
                          <a:prstDash val="solid"/>
                          <a:headEnd type="none" w="med" len="med"/>
                          <a:tailEnd type="triangle" w="med" len="med"/>
                        </a:ln>
                        <a:effectLst/>
                      </wps:spPr>
                      <wps:bodyPr/>
                    </wps:wsp>
                  </a:graphicData>
                </a:graphic>
              </wp:anchor>
            </w:drawing>
          </mc:Choice>
          <mc:Fallback>
            <w:pict>
              <v:shape id="自选图形 29" o:spid="_x0000_s1026" o:spt="32" type="#_x0000_t32" style="position:absolute;left:0pt;flip:y;margin-left:15.15pt;margin-top:90.6pt;height:37.55pt;width:63.9pt;z-index:251662336;mso-width-relative:page;mso-height-relative:page;" filled="f" stroked="t" coordsize="21600,21600" o:gfxdata="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WAaltoAAAAKAQAADwAAAAAA&#10;AAABACAAAAAiAAAAZHJzL2Rvd25yZXYueG1sUEsBAhQAFAAAAAgAh07iQKnDNX8RAgAABgQAAA4A&#10;AAAAAAAAAQAgAAAAKQEAAGRycy9lMm9Eb2MueG1sUEsFBgAAAAAGAAYAWQEAAKwFAAAAAA==&#10;">
                <v:fill on="f" focussize="0,0"/>
                <v:stroke weight="2.5pt" color="#C0504D" joinstyle="round" endarrow="block"/>
                <v:imagedata o:title=""/>
                <o:lock v:ext="edit" aspectratio="f"/>
              </v:shape>
            </w:pict>
          </mc:Fallback>
        </mc:AlternateContent>
      </w:r>
      <w:r>
        <w:rPr>
          <w:rFonts w:ascii="仿宋" w:hAnsi="仿宋" w:eastAsia="仿宋"/>
          <w:szCs w:val="21"/>
        </w:rPr>
        <mc:AlternateContent>
          <mc:Choice Requires="wps">
            <w:drawing>
              <wp:anchor distT="0" distB="0" distL="114300" distR="114300" simplePos="0" relativeHeight="251664384" behindDoc="0" locked="0" layoutInCell="1" allowOverlap="1">
                <wp:simplePos x="0" y="0"/>
                <wp:positionH relativeFrom="column">
                  <wp:posOffset>1609090</wp:posOffset>
                </wp:positionH>
                <wp:positionV relativeFrom="paragraph">
                  <wp:posOffset>2164715</wp:posOffset>
                </wp:positionV>
                <wp:extent cx="850265" cy="299085"/>
                <wp:effectExtent l="6350" t="6350" r="6985" b="24765"/>
                <wp:wrapNone/>
                <wp:docPr id="35" name="文本框 32"/>
                <wp:cNvGraphicFramePr/>
                <a:graphic xmlns:a="http://schemas.openxmlformats.org/drawingml/2006/main">
                  <a:graphicData uri="http://schemas.microsoft.com/office/word/2010/wordprocessingShape">
                    <wps:wsp>
                      <wps:cNvSpPr txBox="1"/>
                      <wps:spPr>
                        <a:xfrm>
                          <a:off x="0" y="0"/>
                          <a:ext cx="850265" cy="2990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D2A43AB">
                            <w:pPr>
                              <w:rPr>
                                <w:rFonts w:hint="eastAsia" w:eastAsia="宋体"/>
                                <w:lang w:eastAsia="zh-CN"/>
                              </w:rPr>
                            </w:pPr>
                            <w:r>
                              <w:rPr>
                                <w:rFonts w:hint="eastAsia" w:ascii="Times New Roman" w:hAnsi="Calibri" w:eastAsia="宋体" w:cs="Times New Roman"/>
                                <w:kern w:val="2"/>
                                <w:sz w:val="21"/>
                                <w:szCs w:val="22"/>
                                <w:lang w:val="en-US" w:eastAsia="zh-CN" w:bidi="ar-SA"/>
                              </w:rPr>
                              <w:t>Manguera antideflagrante</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32" o:spid="_x0000_s1026" o:spt="202" type="#_x0000_t202" style="position:absolute;left:0pt;margin-left:126.7pt;margin-top:170.45pt;height:23.55pt;width:66.95pt;z-index:251664384;mso-width-relative:page;mso-height-relative:margin;mso-height-percent:200;" fillcolor="#FFFFFF" filled="t" stroked="t" coordsize="21600,21600" o:gfxdata="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k7EKy2QAA&#10;AAsBAAAPAAAAAAAAAAEAIAAAACIAAABkcnMvZG93bnJldi54bWxQSwECFAAUAAAACACHTuJAqwx2&#10;/h0CAABfBAAADgAAAAAAAAABACAAAAAoAQAAZHJzL2Uyb0RvYy54bWxQSwUGAAAAAAYABgBZAQAA&#10;twUAAAAA&#10;">
                <v:fill on="t" focussize="0,0"/>
                <v:stroke color="#000000" joinstyle="miter"/>
                <v:imagedata o:title=""/>
                <o:lock v:ext="edit" aspectratio="f"/>
                <v:textbox style="mso-fit-shape-to-text:t;">
                  <w:txbxContent>
                    <w:p w14:paraId="3D2A43AB">
                      <w:pPr>
                        <w:rPr>
                          <w:rFonts w:hint="eastAsia" w:eastAsia="宋体"/>
                          <w:lang w:eastAsia="zh-CN"/>
                        </w:rPr>
                      </w:pPr>
                      <w:r>
                        <w:rPr>
                          <w:rFonts w:hint="eastAsia" w:ascii="Times New Roman" w:hAnsi="Calibri" w:eastAsia="宋体" w:cs="Times New Roman"/>
                          <w:kern w:val="2"/>
                          <w:sz w:val="21"/>
                          <w:szCs w:val="22"/>
                          <w:lang w:val="en-US" w:eastAsia="zh-CN" w:bidi="ar-SA"/>
                        </w:rPr>
                        <w:t>Manguera antideflagrante</w:t>
                      </w:r>
                    </w:p>
                  </w:txbxContent>
                </v:textbox>
              </v:shape>
            </w:pict>
          </mc:Fallback>
        </mc:AlternateContent>
      </w:r>
      <w:r>
        <w:rPr>
          <w:rFonts w:ascii="仿宋" w:hAnsi="仿宋" w:eastAsia="仿宋"/>
          <w:szCs w:val="21"/>
        </w:rPr>
        <mc:AlternateContent>
          <mc:Choice Requires="wps">
            <w:drawing>
              <wp:anchor distT="0" distB="0" distL="114300" distR="114300" simplePos="0" relativeHeight="251665408" behindDoc="0" locked="0" layoutInCell="1" allowOverlap="1">
                <wp:simplePos x="0" y="0"/>
                <wp:positionH relativeFrom="column">
                  <wp:posOffset>-109220</wp:posOffset>
                </wp:positionH>
                <wp:positionV relativeFrom="paragraph">
                  <wp:posOffset>1487170</wp:posOffset>
                </wp:positionV>
                <wp:extent cx="508000" cy="299085"/>
                <wp:effectExtent l="6350" t="6350" r="19050" b="24765"/>
                <wp:wrapNone/>
                <wp:docPr id="38" name="文本框 33"/>
                <wp:cNvGraphicFramePr/>
                <a:graphic xmlns:a="http://schemas.openxmlformats.org/drawingml/2006/main">
                  <a:graphicData uri="http://schemas.microsoft.com/office/word/2010/wordprocessingShape">
                    <wps:wsp>
                      <wps:cNvSpPr txBox="1"/>
                      <wps:spPr>
                        <a:xfrm>
                          <a:off x="0" y="0"/>
                          <a:ext cx="508000" cy="2990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1D261CD">
                            <w:pPr>
                              <w:rPr>
                                <w:rFonts w:hint="eastAsia" w:eastAsia="宋体"/>
                                <w:lang w:eastAsia="zh-CN"/>
                              </w:rPr>
                            </w:pPr>
                            <w:r>
                              <w:rPr>
                                <w:rFonts w:hint="eastAsia" w:ascii="Times New Roman" w:hAnsi="Calibri" w:eastAsia="宋体" w:cs="Times New Roman"/>
                                <w:kern w:val="2"/>
                                <w:sz w:val="21"/>
                                <w:szCs w:val="22"/>
                                <w:lang w:val="en-US" w:eastAsia="zh-CN" w:bidi="ar-SA"/>
                              </w:rPr>
                              <w:t>Plataforma en la nube</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文本框 33" o:spid="_x0000_s1026" o:spt="202" type="#_x0000_t202" style="position:absolute;left:0pt;margin-left:-8.6pt;margin-top:117.1pt;height:23.55pt;width:40pt;z-index:251665408;mso-width-relative:page;mso-height-relative:margin;mso-height-percent:200;" fillcolor="#FFFFFF" filled="t" stroked="t" coordsize="21600,21600" o:gfxdata="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is8MdgA&#10;AAAKAQAADwAAAAAAAAABACAAAAAiAAAAZHJzL2Rvd25yZXYueG1sUEsBAhQAFAAAAAgAh07iQDzk&#10;OfMfAgAAXwQAAA4AAAAAAAAAAQAgAAAAJwEAAGRycy9lMm9Eb2MueG1sUEsFBgAAAAAGAAYAWQEA&#10;ALgFAAAAAA==&#10;">
                <v:fill on="t" focussize="0,0"/>
                <v:stroke color="#000000" joinstyle="miter"/>
                <v:imagedata o:title=""/>
                <o:lock v:ext="edit" aspectratio="f"/>
                <v:textbox style="mso-fit-shape-to-text:t;">
                  <w:txbxContent>
                    <w:p w14:paraId="11D261CD">
                      <w:pPr>
                        <w:rPr>
                          <w:rFonts w:hint="eastAsia" w:eastAsia="宋体"/>
                          <w:lang w:eastAsia="zh-CN"/>
                        </w:rPr>
                      </w:pPr>
                      <w:r>
                        <w:rPr>
                          <w:rFonts w:hint="eastAsia" w:ascii="Times New Roman" w:hAnsi="Calibri" w:eastAsia="宋体" w:cs="Times New Roman"/>
                          <w:kern w:val="2"/>
                          <w:sz w:val="21"/>
                          <w:szCs w:val="22"/>
                          <w:lang w:val="en-US" w:eastAsia="zh-CN" w:bidi="ar-SA"/>
                        </w:rPr>
                        <w:t>Plataforma en la nube</w:t>
                      </w:r>
                    </w:p>
                  </w:txbxContent>
                </v:textbox>
              </v:shape>
            </w:pict>
          </mc:Fallback>
        </mc:AlternateContent>
      </w:r>
      <w:r>
        <w:rPr>
          <w:rFonts w:ascii="仿宋" w:hAnsi="仿宋" w:eastAsia="仿宋"/>
          <w:szCs w:val="21"/>
        </w:rPr>
        <w:drawing>
          <wp:inline distT="0" distB="0" distL="0" distR="0">
            <wp:extent cx="5263515" cy="227393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263515" cy="2273935"/>
                    </a:xfrm>
                    <a:prstGeom prst="rect">
                      <a:avLst/>
                    </a:prstGeom>
                    <a:noFill/>
                    <a:ln>
                      <a:noFill/>
                    </a:ln>
                  </pic:spPr>
                </pic:pic>
              </a:graphicData>
            </a:graphic>
          </wp:inline>
        </w:drawing>
      </w:r>
    </w:p>
    <w:p w14:paraId="561C2EA2">
      <w:pPr>
        <w:pStyle w:val="3"/>
        <w:rPr>
          <w:rFonts w:hint="eastAsia" w:eastAsia="黑体"/>
          <w:lang w:eastAsia="zh-CN"/>
        </w:rPr>
      </w:pPr>
      <w:bookmarkStart w:id="32" w:name="_Toc97643651"/>
      <w:bookmarkStart w:id="33" w:name="_Toc462756368"/>
      <w:r>
        <w:rPr>
          <w:rFonts w:hint="eastAsia" w:ascii="Times New Roman" w:eastAsia="黑体" w:hAnsiTheme="majorHAnsi" w:cstheme="majorBidi"/>
          <w:b/>
          <w:bCs/>
          <w:kern w:val="2"/>
          <w:sz w:val="28"/>
          <w:szCs w:val="32"/>
          <w:lang w:val="en-US" w:eastAsia="zh-CN" w:bidi="ar-SA"/>
        </w:rPr>
        <w:t>3.2 Inspección del equipo</w:t>
      </w:r>
      <w:bookmarkEnd w:id="32"/>
      <w:bookmarkEnd w:id="33"/>
    </w:p>
    <w:p w14:paraId="06966E2D">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1) Compruebe si el equipo está intacto y verifique que todas las fibras ópticas y los cables de alimentación estén bien conectados y en buen estado;</w:t>
      </w:r>
    </w:p>
    <w:p w14:paraId="61FAB42D">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2) Compruebe si la superficie del espejo del dispositivo receptor y transmisor está limpia y límpiela periódicamente con un paño suave y seco.</w:t>
      </w:r>
    </w:p>
    <w:p w14:paraId="56DD5384">
      <w:pPr>
        <w:rPr>
          <w:rFonts w:ascii="仿宋" w:hAnsi="仿宋" w:eastAsia="仿宋" w:cs="仿宋"/>
        </w:rPr>
      </w:pPr>
    </w:p>
    <w:p w14:paraId="6F38ECC0">
      <w:pPr>
        <w:pStyle w:val="3"/>
        <w:rPr>
          <w:rFonts w:hint="eastAsia" w:eastAsia="黑体"/>
          <w:lang w:eastAsia="zh-CN"/>
        </w:rPr>
      </w:pPr>
      <w:bookmarkStart w:id="34" w:name="_Toc462756369"/>
      <w:bookmarkStart w:id="35" w:name="_Toc97643652"/>
      <w:r>
        <w:rPr>
          <w:rFonts w:hint="eastAsia" w:ascii="Times New Roman" w:eastAsia="黑体" w:hAnsiTheme="majorHAnsi" w:cstheme="majorBidi"/>
          <w:b/>
          <w:bCs/>
          <w:kern w:val="2"/>
          <w:sz w:val="28"/>
          <w:szCs w:val="32"/>
          <w:lang w:val="en-US" w:eastAsia="zh-CN" w:bidi="ar-SA"/>
        </w:rPr>
        <w:t>3.3 Operación del equipo</w:t>
      </w:r>
      <w:bookmarkEnd w:id="34"/>
      <w:bookmarkEnd w:id="35"/>
    </w:p>
    <w:p w14:paraId="517A4379">
      <w:pPr>
        <w:pStyle w:val="4"/>
        <w:rPr>
          <w:rFonts w:hint="eastAsia" w:eastAsia="黑体"/>
          <w:lang w:eastAsia="zh-CN"/>
        </w:rPr>
      </w:pPr>
      <w:bookmarkStart w:id="36" w:name="_Toc97643653"/>
      <w:bookmarkStart w:id="37" w:name="_Toc462756370"/>
      <w:r>
        <w:rPr>
          <w:rFonts w:hint="eastAsia" w:ascii="Times New Roman" w:hAnsi="Calibri" w:eastAsia="黑体" w:cs="Times New Roman"/>
          <w:b/>
          <w:bCs/>
          <w:kern w:val="2"/>
          <w:sz w:val="21"/>
          <w:szCs w:val="32"/>
          <w:lang w:val="en-US" w:eastAsia="zh-CN" w:bidi="ar-SA"/>
        </w:rPr>
        <w:t>3.3.1 Operaciones básicas</w:t>
      </w:r>
      <w:bookmarkEnd w:id="36"/>
      <w:bookmarkEnd w:id="37"/>
    </w:p>
    <w:p w14:paraId="4A2D6A40">
      <w:pPr>
        <w:spacing w:line="360" w:lineRule="auto"/>
        <w:rPr>
          <w:rFonts w:hint="eastAsia" w:ascii="仿宋" w:hAnsi="仿宋" w:eastAsia="仿宋" w:cs="仿宋"/>
          <w:szCs w:val="21"/>
          <w:lang w:eastAsia="zh-CN"/>
        </w:rPr>
      </w:pPr>
      <w:r>
        <w:rPr>
          <w:rFonts w:hint="eastAsia" w:ascii="Times New Roman" w:hAnsi="仿宋" w:eastAsia="仿宋" w:cs="仿宋"/>
          <w:kern w:val="2"/>
          <w:sz w:val="21"/>
          <w:szCs w:val="21"/>
          <w:lang w:val="en-US" w:eastAsia="zh-CN" w:bidi="ar-SA"/>
        </w:rPr>
        <w:t>1) Tras completar la inspección del proceso anterior, active el interruptor antideflagrante y encienda el equipo;</w:t>
      </w:r>
    </w:p>
    <w:p w14:paraId="42B63E16">
      <w:pPr>
        <w:spacing w:line="360" w:lineRule="auto"/>
        <w:rPr>
          <w:rFonts w:hint="eastAsia" w:ascii="仿宋" w:hAnsi="仿宋" w:eastAsia="仿宋" w:cs="仿宋"/>
          <w:szCs w:val="21"/>
          <w:lang w:eastAsia="zh-CN"/>
        </w:rPr>
      </w:pPr>
      <w:r>
        <w:rPr>
          <w:rFonts w:hint="eastAsia" w:ascii="Times New Roman" w:hAnsi="仿宋" w:eastAsia="仿宋" w:cs="仿宋"/>
          <w:kern w:val="2"/>
          <w:sz w:val="21"/>
          <w:szCs w:val="21"/>
          <w:lang w:val="en-US" w:eastAsia="zh-CN" w:bidi="ar-SA"/>
        </w:rPr>
        <w:t>2) Al encenderlo por primera vez, el cabezal PTZ realiza un ciclo de rotación de autocomprobación.</w:t>
      </w:r>
    </w:p>
    <w:p w14:paraId="08A8ABFA">
      <w:pPr>
        <w:spacing w:line="360" w:lineRule="auto"/>
        <w:rPr>
          <w:rFonts w:hint="eastAsia" w:ascii="仿宋" w:hAnsi="仿宋" w:eastAsia="仿宋" w:cs="仿宋"/>
          <w:szCs w:val="21"/>
          <w:lang w:eastAsia="zh-CN"/>
        </w:rPr>
      </w:pPr>
      <w:r>
        <w:rPr>
          <w:rFonts w:hint="eastAsia" w:ascii="Times New Roman" w:hAnsi="仿宋" w:eastAsia="仿宋" w:cs="仿宋"/>
          <w:kern w:val="2"/>
          <w:sz w:val="21"/>
          <w:szCs w:val="21"/>
          <w:lang w:val="en-US" w:eastAsia="zh-CN" w:bidi="ar-SA"/>
        </w:rPr>
        <w:t>3) Inicie el software de detección y comience la monitorización.</w:t>
      </w:r>
    </w:p>
    <w:p w14:paraId="419E2A6D">
      <w:pPr>
        <w:pStyle w:val="2"/>
        <w:rPr>
          <w:rFonts w:hint="eastAsia" w:eastAsia="黑体"/>
          <w:lang w:eastAsia="zh-CN"/>
        </w:rPr>
      </w:pPr>
      <w:bookmarkStart w:id="38" w:name="_Toc97643654"/>
      <w:r>
        <w:rPr>
          <w:rFonts w:hint="eastAsia" w:ascii="Times New Roman" w:hAnsi="Calibri" w:eastAsia="黑体" w:cs="Times New Roman"/>
          <w:b/>
          <w:bCs/>
          <w:kern w:val="44"/>
          <w:sz w:val="32"/>
          <w:szCs w:val="44"/>
          <w:lang w:val="en-US" w:eastAsia="zh-CN" w:bidi="ar-SA"/>
        </w:rPr>
        <w:t>IV. Operación del software</w:t>
      </w:r>
      <w:bookmarkEnd w:id="38"/>
    </w:p>
    <w:p w14:paraId="53116D80">
      <w:pPr>
        <w:pStyle w:val="3"/>
        <w:rPr>
          <w:rFonts w:hint="eastAsia" w:eastAsia="黑体"/>
          <w:lang w:eastAsia="zh-CN"/>
        </w:rPr>
      </w:pPr>
      <w:bookmarkStart w:id="39" w:name="_Toc97643655"/>
      <w:r>
        <w:rPr>
          <w:rFonts w:hint="eastAsia" w:ascii="Times New Roman" w:eastAsia="黑体" w:hAnsiTheme="majorHAnsi" w:cstheme="majorBidi"/>
          <w:b/>
          <w:bCs/>
          <w:kern w:val="2"/>
          <w:sz w:val="28"/>
          <w:szCs w:val="32"/>
          <w:lang w:val="en-US" w:eastAsia="zh-CN" w:bidi="ar-SA"/>
        </w:rPr>
        <w:t>4.1 Apertura del software</w:t>
      </w:r>
      <w:bookmarkEnd w:id="39"/>
    </w:p>
    <w:p w14:paraId="10F9BC67">
      <w:pPr>
        <w:rPr>
          <w:rFonts w:hint="eastAsia" w:eastAsia="宋体"/>
          <w:lang w:eastAsia="zh-CN"/>
        </w:rPr>
      </w:pPr>
      <w:r>
        <w:rPr>
          <w:rFonts w:hint="eastAsia" w:ascii="Times New Roman" w:hAnsi="Calibri" w:eastAsia="宋体" w:cs="Times New Roman"/>
          <w:kern w:val="2"/>
          <w:sz w:val="21"/>
          <w:szCs w:val="22"/>
          <w:lang w:val="en-US" w:eastAsia="zh-CN" w:bidi="ar-SA"/>
        </w:rPr>
        <w:t xml:space="preserve">Haga clic en el icono del escritorio para iniciar el software.</w:t>
      </w:r>
      <w:r>
        <w:drawing>
          <wp:inline distT="0" distB="0" distL="0" distR="0">
            <wp:extent cx="685800" cy="771525"/>
            <wp:effectExtent l="0" t="0" r="0" b="1587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1"/>
                    <a:stretch>
                      <a:fillRect/>
                    </a:stretch>
                  </pic:blipFill>
                  <pic:spPr>
                    <a:xfrm>
                      <a:off x="0" y="0"/>
                      <a:ext cx="685800" cy="771525"/>
                    </a:xfrm>
                    <a:prstGeom prst="rect">
                      <a:avLst/>
                    </a:prstGeom>
                  </pic:spPr>
                </pic:pic>
              </a:graphicData>
            </a:graphic>
          </wp:inline>
        </w:drawing>
      </w:r>
      <w:r>
        <w:rPr>
          <w:rFonts w:hint="eastAsia" w:ascii="Times New Roman" w:hAnsi="Calibri" w:eastAsia="宋体" w:cs="Times New Roman"/>
          <w:kern w:val="2"/>
          <w:sz w:val="21"/>
          <w:szCs w:val="22"/>
          <w:lang w:val="en-US" w:eastAsia="zh-CN" w:bidi="ar-SA"/>
        </w:rPr>
        <w:t/>
      </w:r>
    </w:p>
    <w:p w14:paraId="092BB37C">
      <w:pPr>
        <w:pStyle w:val="3"/>
        <w:rPr>
          <w:rFonts w:hint="eastAsia" w:eastAsia="黑体"/>
          <w:lang w:eastAsia="zh-CN"/>
        </w:rPr>
      </w:pPr>
      <w:bookmarkStart w:id="40" w:name="_Toc97643656"/>
      <w:r>
        <w:rPr>
          <w:rFonts w:hint="eastAsia" w:ascii="Times New Roman" w:eastAsia="黑体" w:hAnsiTheme="majorHAnsi" w:cstheme="majorBidi"/>
          <w:b/>
          <w:bCs/>
          <w:kern w:val="2"/>
          <w:sz w:val="28"/>
          <w:szCs w:val="32"/>
          <w:lang w:val="en-US" w:eastAsia="zh-CN" w:bidi="ar-SA"/>
        </w:rPr>
        <w:t>4.2 Inicio de sesión del usuario</w:t>
      </w:r>
      <w:bookmarkEnd w:id="40"/>
    </w:p>
    <w:p w14:paraId="62D0903A">
      <w:pPr>
        <w:rPr>
          <w:rFonts w:hint="eastAsia" w:eastAsia="宋体"/>
          <w:lang w:eastAsia="zh-CN"/>
        </w:rPr>
      </w:pPr>
      <w:r>
        <w:rPr>
          <w:rFonts w:hint="eastAsia" w:ascii="Times New Roman" w:hAnsi="Calibri" w:eastAsia="宋体" w:cs="Times New Roman"/>
          <w:kern w:val="2"/>
          <w:sz w:val="21"/>
          <w:szCs w:val="22"/>
          <w:lang w:val="en-US" w:eastAsia="zh-CN" w:bidi="ar-SA"/>
        </w:rPr>
        <w:t>1. Haga clic en Usuario/Ayuda en la barra de herramientas y seleccione Iniciar sesión</w:t>
      </w:r>
    </w:p>
    <w:p w14:paraId="50559728">
      <w:r>
        <w:drawing>
          <wp:inline distT="0" distB="0" distL="0" distR="0">
            <wp:extent cx="3474720" cy="75438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2"/>
                    <a:stretch>
                      <a:fillRect/>
                    </a:stretch>
                  </pic:blipFill>
                  <pic:spPr>
                    <a:xfrm>
                      <a:off x="0" y="0"/>
                      <a:ext cx="3566712" cy="774766"/>
                    </a:xfrm>
                    <a:prstGeom prst="rect">
                      <a:avLst/>
                    </a:prstGeom>
                  </pic:spPr>
                </pic:pic>
              </a:graphicData>
            </a:graphic>
          </wp:inline>
        </w:drawing>
      </w:r>
    </w:p>
    <w:p w14:paraId="2CD0D0D8">
      <w:pPr>
        <w:rPr>
          <w:rFonts w:hint="eastAsia" w:eastAsia="宋体"/>
          <w:lang w:eastAsia="zh-CN"/>
        </w:rPr>
      </w:pPr>
      <w:r>
        <w:rPr>
          <w:rFonts w:hint="eastAsia" w:ascii="Times New Roman" w:hAnsi="Calibri" w:eastAsia="宋体" w:cs="Times New Roman"/>
          <w:kern w:val="2"/>
          <w:sz w:val="21"/>
          <w:szCs w:val="22"/>
          <w:lang w:val="en-US" w:eastAsia="zh-CN" w:bidi="ar-SA"/>
        </w:rPr>
        <w:t>2. Abra el cuadro de diálogo de inicio de sesión</w:t>
      </w:r>
    </w:p>
    <w:p w14:paraId="0E8431EB">
      <w:pPr>
        <w:rPr>
          <w:rFonts w:hint="eastAsia" w:eastAsia="宋体"/>
          <w:lang w:eastAsia="zh-CN"/>
        </w:rPr>
      </w:pPr>
      <w:r>
        <w:rPr>
          <w:rFonts w:hint="eastAsia" w:ascii="Times New Roman" w:hAnsi="Calibri" w:eastAsia="宋体" w:cs="Times New Roman"/>
          <w:kern w:val="2"/>
          <w:sz w:val="21"/>
          <w:szCs w:val="22"/>
          <w:lang w:val="en-US" w:eastAsia="zh-CN" w:bidi="ar-SA"/>
        </w:rPr>
        <w:t>Seleccione la contraseña predeterminada del administrador "5656"</w:t>
      </w:r>
    </w:p>
    <w:p w14:paraId="31D1CE02">
      <w:pPr>
        <w:jc w:val="center"/>
      </w:pPr>
      <w:r>
        <w:drawing>
          <wp:inline distT="0" distB="0" distL="0" distR="0">
            <wp:extent cx="1505585" cy="161353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3"/>
                    <a:stretch>
                      <a:fillRect/>
                    </a:stretch>
                  </pic:blipFill>
                  <pic:spPr>
                    <a:xfrm>
                      <a:off x="0" y="0"/>
                      <a:ext cx="1524731" cy="1634031"/>
                    </a:xfrm>
                    <a:prstGeom prst="rect">
                      <a:avLst/>
                    </a:prstGeom>
                  </pic:spPr>
                </pic:pic>
              </a:graphicData>
            </a:graphic>
          </wp:inline>
        </w:drawing>
      </w:r>
    </w:p>
    <w:p w14:paraId="3FB82F4F">
      <w:pPr>
        <w:rPr>
          <w:rFonts w:hint="eastAsia" w:eastAsia="宋体"/>
          <w:lang w:eastAsia="zh-CN"/>
        </w:rPr>
      </w:pPr>
      <w:bookmarkStart w:id="41" w:name="_Toc462756373"/>
      <w:r>
        <w:rPr>
          <w:rFonts w:hint="eastAsia" w:ascii="Times New Roman" w:hAnsi="Calibri" w:eastAsia="宋体" w:cs="Times New Roman"/>
          <w:kern w:val="2"/>
          <w:sz w:val="21"/>
          <w:szCs w:val="22"/>
          <w:lang w:val="en-US" w:eastAsia="zh-CN" w:bidi="ar-SA"/>
        </w:rPr>
        <w:t>Haga clic en Aceptar para iniciar sesión.</w:t>
      </w:r>
      <w:bookmarkEnd w:id="41"/>
    </w:p>
    <w:p w14:paraId="1D704761">
      <w:pPr>
        <w:pStyle w:val="3"/>
        <w:rPr>
          <w:rFonts w:hint="eastAsia" w:eastAsia="黑体"/>
          <w:lang w:eastAsia="zh-CN"/>
        </w:rPr>
      </w:pPr>
      <w:bookmarkStart w:id="42" w:name="_Toc97643657"/>
      <w:r>
        <w:rPr>
          <w:rFonts w:hint="eastAsia" w:ascii="Times New Roman" w:eastAsia="黑体" w:hAnsiTheme="majorHAnsi" w:cstheme="majorBidi"/>
          <w:b/>
          <w:bCs/>
          <w:kern w:val="2"/>
          <w:sz w:val="28"/>
          <w:szCs w:val="32"/>
          <w:lang w:val="en-US" w:eastAsia="zh-CN" w:bidi="ar-SA"/>
        </w:rPr>
        <w:t>4.3 Conexión de la señal de vídeo</w:t>
      </w:r>
      <w:bookmarkEnd w:id="42"/>
    </w:p>
    <w:p w14:paraId="114B55BC">
      <w:pPr>
        <w:rPr>
          <w:rFonts w:hint="eastAsia" w:eastAsia="宋体"/>
          <w:lang w:eastAsia="zh-CN"/>
        </w:rPr>
      </w:pPr>
      <w:r>
        <w:rPr>
          <w:rFonts w:hint="eastAsia" w:ascii="Times New Roman" w:hAnsi="Calibri" w:eastAsia="宋体" w:cs="Times New Roman"/>
          <w:kern w:val="2"/>
          <w:sz w:val="21"/>
          <w:szCs w:val="22"/>
          <w:lang w:val="en-US" w:eastAsia="zh-CN" w:bidi="ar-SA"/>
        </w:rPr>
        <w:t>1. Haga clic en "Comunicaciones" en la barra de herramientas y, a continuación, seleccione "Conectar" para abrir el cuadro de diálogo de conexión de la señal de vídeo.</w:t>
      </w:r>
    </w:p>
    <w:p w14:paraId="54D46CCF">
      <w:r>
        <w:drawing>
          <wp:inline distT="0" distB="0" distL="0" distR="0">
            <wp:extent cx="2258060" cy="72453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4"/>
                    <a:stretch>
                      <a:fillRect/>
                    </a:stretch>
                  </pic:blipFill>
                  <pic:spPr>
                    <a:xfrm>
                      <a:off x="0" y="0"/>
                      <a:ext cx="2289823" cy="734741"/>
                    </a:xfrm>
                    <a:prstGeom prst="rect">
                      <a:avLst/>
                    </a:prstGeom>
                  </pic:spPr>
                </pic:pic>
              </a:graphicData>
            </a:graphic>
          </wp:inline>
        </w:drawing>
      </w:r>
    </w:p>
    <w:p w14:paraId="3B4A2B18"/>
    <w:p w14:paraId="6C405FD4">
      <w:pPr>
        <w:jc w:val="center"/>
      </w:pPr>
      <w:r>
        <w:drawing>
          <wp:inline distT="0" distB="0" distL="0" distR="0">
            <wp:extent cx="1691640" cy="187642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5"/>
                    <a:stretch>
                      <a:fillRect/>
                    </a:stretch>
                  </pic:blipFill>
                  <pic:spPr>
                    <a:xfrm>
                      <a:off x="0" y="0"/>
                      <a:ext cx="1707895" cy="1894320"/>
                    </a:xfrm>
                    <a:prstGeom prst="rect">
                      <a:avLst/>
                    </a:prstGeom>
                  </pic:spPr>
                </pic:pic>
              </a:graphicData>
            </a:graphic>
          </wp:inline>
        </w:drawing>
      </w:r>
    </w:p>
    <w:p w14:paraId="21F4B13D">
      <w:pPr>
        <w:jc w:val="left"/>
        <w:rPr>
          <w:rFonts w:hint="eastAsia" w:eastAsia="宋体"/>
          <w:lang w:eastAsia="zh-CN"/>
        </w:rPr>
      </w:pPr>
      <w:r>
        <w:rPr>
          <w:rFonts w:hint="eastAsia" w:ascii="Times New Roman" w:hAnsi="Calibri" w:eastAsia="宋体" w:cs="Times New Roman"/>
          <w:kern w:val="2"/>
          <w:sz w:val="21"/>
          <w:szCs w:val="22"/>
          <w:lang w:val="en-US" w:eastAsia="zh-CN" w:bidi="ar-SA"/>
        </w:rPr>
        <w:t>2. Introduzca la dirección IP, el número de puerto, el nombre de usuario y la contraseña de la señal de vídeo (la información se almacena en la plataforma en la nube). Haga clic en "Aceptar" para conectar.</w:t>
      </w:r>
    </w:p>
    <w:p w14:paraId="062B91EA">
      <w:pPr>
        <w:jc w:val="center"/>
      </w:pPr>
      <w:r>
        <w:drawing>
          <wp:inline distT="0" distB="0" distL="0" distR="0">
            <wp:extent cx="4667250" cy="37528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a:stretch>
                      <a:fillRect/>
                    </a:stretch>
                  </pic:blipFill>
                  <pic:spPr>
                    <a:xfrm>
                      <a:off x="0" y="0"/>
                      <a:ext cx="4686866" cy="3768791"/>
                    </a:xfrm>
                    <a:prstGeom prst="rect">
                      <a:avLst/>
                    </a:prstGeom>
                  </pic:spPr>
                </pic:pic>
              </a:graphicData>
            </a:graphic>
          </wp:inline>
        </w:drawing>
      </w:r>
    </w:p>
    <w:p w14:paraId="41C03CB1">
      <w:pPr>
        <w:jc w:val="center"/>
      </w:pPr>
    </w:p>
    <w:p w14:paraId="1875C3DB">
      <w:pPr>
        <w:pStyle w:val="3"/>
        <w:jc w:val="left"/>
        <w:rPr>
          <w:rFonts w:hint="eastAsia" w:eastAsia="黑体"/>
          <w:lang w:eastAsia="zh-CN"/>
        </w:rPr>
      </w:pPr>
      <w:bookmarkStart w:id="43" w:name="_Toc97643658"/>
      <w:r>
        <w:rPr>
          <w:rFonts w:hint="eastAsia" w:ascii="Times New Roman" w:eastAsia="黑体" w:hAnsiTheme="majorHAnsi" w:cstheme="majorBidi"/>
          <w:b/>
          <w:bCs/>
          <w:kern w:val="2"/>
          <w:sz w:val="28"/>
          <w:szCs w:val="32"/>
          <w:lang w:val="en-US" w:eastAsia="zh-CN" w:bidi="ar-SA"/>
        </w:rPr>
        <w:t>4.4. Conexión de las señales de telemetría</w:t>
      </w:r>
      <w:bookmarkEnd w:id="43"/>
    </w:p>
    <w:p w14:paraId="6447ACB0">
      <w:pPr>
        <w:rPr>
          <w:rFonts w:hint="eastAsia" w:eastAsia="宋体"/>
          <w:lang w:eastAsia="zh-CN"/>
        </w:rPr>
      </w:pPr>
      <w:r>
        <w:rPr>
          <w:rFonts w:hint="eastAsia" w:ascii="Times New Roman" w:hAnsi="Calibri" w:eastAsia="宋体" w:cs="Times New Roman"/>
          <w:kern w:val="2"/>
          <w:sz w:val="21"/>
          <w:szCs w:val="22"/>
          <w:lang w:val="en-US" w:eastAsia="zh-CN" w:bidi="ar-SA"/>
        </w:rPr>
        <w:t>1. Haga clic en Configuración en Comunicaciones de la barra de herramientas para abrir el cuadro de diálogo de configuración</w:t>
      </w:r>
    </w:p>
    <w:p w14:paraId="711D3CD7">
      <w:r>
        <w:drawing>
          <wp:inline distT="0" distB="0" distL="0" distR="0">
            <wp:extent cx="2567940" cy="930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a:stretch>
                      <a:fillRect/>
                    </a:stretch>
                  </pic:blipFill>
                  <pic:spPr>
                    <a:xfrm>
                      <a:off x="0" y="0"/>
                      <a:ext cx="2576407" cy="934401"/>
                    </a:xfrm>
                    <a:prstGeom prst="rect">
                      <a:avLst/>
                    </a:prstGeom>
                  </pic:spPr>
                </pic:pic>
              </a:graphicData>
            </a:graphic>
          </wp:inline>
        </w:drawing>
      </w:r>
    </w:p>
    <w:p w14:paraId="1E539081">
      <w:pPr>
        <w:rPr>
          <w:rFonts w:hint="eastAsia" w:eastAsia="宋体"/>
          <w:lang w:eastAsia="zh-CN"/>
        </w:rPr>
      </w:pPr>
      <w:r>
        <w:rPr>
          <w:rFonts w:hint="eastAsia" w:ascii="Times New Roman" w:hAnsi="Calibri" w:eastAsia="宋体" w:cs="Times New Roman"/>
          <w:kern w:val="2"/>
          <w:sz w:val="21"/>
          <w:szCs w:val="22"/>
          <w:lang w:val="en-US" w:eastAsia="zh-CN" w:bidi="ar-SA"/>
        </w:rPr>
        <w:t>2. Seleccione el recurso de puerto en la lista desplegable del nombre del recurso VISA, haga clic en "Probar conexión" para establecer la conexión cuando se encienda la luz verde, luego haga clic en "Aceptar" y finalmente en "Salir".</w:t>
      </w:r>
    </w:p>
    <w:p w14:paraId="4F942847">
      <w:pPr>
        <w:jc w:val="center"/>
      </w:pPr>
      <w:r>
        <w:drawing>
          <wp:inline distT="0" distB="0" distL="0" distR="0">
            <wp:extent cx="1704975" cy="20910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8"/>
                    <a:stretch>
                      <a:fillRect/>
                    </a:stretch>
                  </pic:blipFill>
                  <pic:spPr>
                    <a:xfrm>
                      <a:off x="0" y="0"/>
                      <a:ext cx="1720266" cy="2109873"/>
                    </a:xfrm>
                    <a:prstGeom prst="rect">
                      <a:avLst/>
                    </a:prstGeom>
                  </pic:spPr>
                </pic:pic>
              </a:graphicData>
            </a:graphic>
          </wp:inline>
        </w:drawing>
      </w:r>
    </w:p>
    <w:p w14:paraId="11FCCACF">
      <w:pPr>
        <w:jc w:val="center"/>
      </w:pPr>
    </w:p>
    <w:p w14:paraId="414EB484">
      <w:pPr>
        <w:jc w:val="left"/>
        <w:rPr>
          <w:rFonts w:hint="eastAsia" w:eastAsia="宋体"/>
          <w:lang w:eastAsia="zh-CN"/>
        </w:rPr>
      </w:pPr>
      <w:r>
        <w:rPr>
          <w:rFonts w:hint="eastAsia" w:ascii="Times New Roman" w:hAnsi="Calibri" w:eastAsia="宋体" w:cs="Times New Roman"/>
          <w:kern w:val="2"/>
          <w:sz w:val="21"/>
          <w:szCs w:val="22"/>
          <w:lang w:val="en-US" w:eastAsia="zh-CN" w:bidi="ar-SA"/>
        </w:rPr>
        <w:t>3. Tras una conexión correcta, la barra de herramientas y la luz de conexión se encenderán</w:t>
      </w:r>
    </w:p>
    <w:p w14:paraId="5528F393">
      <w:pPr>
        <w:jc w:val="left"/>
      </w:pPr>
      <w:r>
        <w:drawing>
          <wp:inline distT="0" distB="0" distL="0" distR="0">
            <wp:extent cx="2464435" cy="68516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9"/>
                    <a:stretch>
                      <a:fillRect/>
                    </a:stretch>
                  </pic:blipFill>
                  <pic:spPr>
                    <a:xfrm>
                      <a:off x="0" y="0"/>
                      <a:ext cx="2481888" cy="690384"/>
                    </a:xfrm>
                    <a:prstGeom prst="rect">
                      <a:avLst/>
                    </a:prstGeom>
                  </pic:spPr>
                </pic:pic>
              </a:graphicData>
            </a:graphic>
          </wp:inline>
        </w:drawing>
      </w:r>
    </w:p>
    <w:p w14:paraId="7346BE8C">
      <w:pPr>
        <w:pStyle w:val="3"/>
        <w:rPr>
          <w:rFonts w:hint="eastAsia" w:eastAsia="黑体"/>
          <w:lang w:eastAsia="zh-CN"/>
        </w:rPr>
      </w:pPr>
      <w:bookmarkStart w:id="44" w:name="_Toc97643659"/>
      <w:r>
        <w:rPr>
          <w:rFonts w:hint="eastAsia" w:ascii="Times New Roman" w:eastAsia="黑体" w:hAnsiTheme="majorHAnsi" w:cstheme="majorBidi"/>
          <w:b/>
          <w:bCs/>
          <w:kern w:val="2"/>
          <w:sz w:val="28"/>
          <w:szCs w:val="32"/>
          <w:lang w:val="en-US" w:eastAsia="zh-CN" w:bidi="ar-SA"/>
        </w:rPr>
        <w:t>4.5 Inicio de la misión de telemetría</w:t>
      </w:r>
      <w:bookmarkEnd w:id="44"/>
    </w:p>
    <w:p w14:paraId="370F1D31">
      <w:pPr>
        <w:rPr>
          <w:rFonts w:hint="eastAsia" w:eastAsia="宋体"/>
          <w:lang w:eastAsia="zh-CN"/>
        </w:rPr>
      </w:pPr>
      <w:r>
        <w:rPr>
          <w:rFonts w:hint="eastAsia" w:ascii="Times New Roman" w:hAnsi="Calibri" w:eastAsia="宋体" w:cs="Times New Roman"/>
          <w:kern w:val="2"/>
          <w:sz w:val="21"/>
          <w:szCs w:val="22"/>
          <w:lang w:val="en-US" w:eastAsia="zh-CN" w:bidi="ar-SA"/>
        </w:rPr>
        <w:t>Haga clic en Inicio en la barra de herramientas y, a continuación, haga clic en Iniciar tarea para comenzar la tarea de telemetría.</w:t>
      </w:r>
    </w:p>
    <w:p w14:paraId="78FB55CA">
      <w:r>
        <w:drawing>
          <wp:inline distT="0" distB="0" distL="0" distR="0">
            <wp:extent cx="3577590" cy="84645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0"/>
                    <a:stretch>
                      <a:fillRect/>
                    </a:stretch>
                  </pic:blipFill>
                  <pic:spPr>
                    <a:xfrm>
                      <a:off x="0" y="0"/>
                      <a:ext cx="3643367" cy="862047"/>
                    </a:xfrm>
                    <a:prstGeom prst="rect">
                      <a:avLst/>
                    </a:prstGeom>
                  </pic:spPr>
                </pic:pic>
              </a:graphicData>
            </a:graphic>
          </wp:inline>
        </w:drawing>
      </w:r>
    </w:p>
    <w:p w14:paraId="4BDF1619"/>
    <w:p w14:paraId="67B07BED">
      <w:r>
        <w:drawing>
          <wp:inline distT="0" distB="0" distL="0" distR="0">
            <wp:extent cx="5274310" cy="425704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stretch>
                      <a:fillRect/>
                    </a:stretch>
                  </pic:blipFill>
                  <pic:spPr>
                    <a:xfrm>
                      <a:off x="0" y="0"/>
                      <a:ext cx="5274310" cy="4257040"/>
                    </a:xfrm>
                    <a:prstGeom prst="rect">
                      <a:avLst/>
                    </a:prstGeom>
                  </pic:spPr>
                </pic:pic>
              </a:graphicData>
            </a:graphic>
          </wp:inline>
        </w:drawing>
      </w:r>
    </w:p>
    <w:p w14:paraId="4F091503"/>
    <w:p w14:paraId="08B81726">
      <w:pPr>
        <w:pStyle w:val="3"/>
        <w:rPr>
          <w:rFonts w:hint="eastAsia" w:eastAsia="黑体"/>
          <w:lang w:eastAsia="zh-CN"/>
        </w:rPr>
      </w:pPr>
      <w:bookmarkStart w:id="45" w:name="_Toc97643660"/>
      <w:r>
        <w:rPr>
          <w:rFonts w:hint="eastAsia" w:ascii="Times New Roman" w:eastAsia="黑体" w:hAnsiTheme="majorHAnsi" w:cstheme="majorBidi"/>
          <w:b/>
          <w:bCs/>
          <w:kern w:val="2"/>
          <w:sz w:val="28"/>
          <w:szCs w:val="32"/>
          <w:lang w:val="en-US" w:eastAsia="zh-CN" w:bidi="ar-SA"/>
        </w:rPr>
        <w:t>4.6 Finalización de la misión de telemetría</w:t>
      </w:r>
      <w:bookmarkEnd w:id="45"/>
    </w:p>
    <w:p w14:paraId="4F433261">
      <w:pPr>
        <w:rPr>
          <w:rFonts w:hint="eastAsia" w:eastAsia="宋体"/>
          <w:lang w:eastAsia="zh-CN"/>
        </w:rPr>
      </w:pPr>
      <w:r>
        <w:rPr>
          <w:rFonts w:hint="eastAsia" w:ascii="Times New Roman" w:hAnsi="Calibri" w:eastAsia="宋体" w:cs="Times New Roman"/>
          <w:kern w:val="2"/>
          <w:sz w:val="21"/>
          <w:szCs w:val="22"/>
          <w:lang w:val="en-US" w:eastAsia="zh-CN" w:bidi="ar-SA"/>
        </w:rPr>
        <w:t>Haga clic en Inicio en la barra de herramientas y, a continuación, haga clic en Detener tarea para detener la tarea de telemetría.</w:t>
      </w:r>
    </w:p>
    <w:p w14:paraId="32FB8C94">
      <w:r>
        <w:drawing>
          <wp:inline distT="0" distB="0" distL="0" distR="0">
            <wp:extent cx="3339465" cy="78422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2"/>
                    <a:stretch>
                      <a:fillRect/>
                    </a:stretch>
                  </pic:blipFill>
                  <pic:spPr>
                    <a:xfrm>
                      <a:off x="0" y="0"/>
                      <a:ext cx="3366883" cy="790879"/>
                    </a:xfrm>
                    <a:prstGeom prst="rect">
                      <a:avLst/>
                    </a:prstGeom>
                  </pic:spPr>
                </pic:pic>
              </a:graphicData>
            </a:graphic>
          </wp:inline>
        </w:drawing>
      </w:r>
    </w:p>
    <w:p w14:paraId="7CBC099C">
      <w:pPr>
        <w:pStyle w:val="3"/>
        <w:rPr>
          <w:rFonts w:hint="eastAsia" w:eastAsia="黑体"/>
          <w:lang w:eastAsia="zh-CN"/>
        </w:rPr>
      </w:pPr>
      <w:bookmarkStart w:id="46" w:name="_Toc97643661"/>
      <w:r>
        <w:rPr>
          <w:rFonts w:hint="eastAsia" w:ascii="Times New Roman" w:eastAsia="黑体" w:hAnsiTheme="majorHAnsi" w:cstheme="majorBidi"/>
          <w:b/>
          <w:bCs/>
          <w:kern w:val="2"/>
          <w:sz w:val="28"/>
          <w:szCs w:val="32"/>
          <w:lang w:val="en-US" w:eastAsia="zh-CN" w:bidi="ar-SA"/>
        </w:rPr>
        <w:t>4.7 Configuración del punto de alarma</w:t>
      </w:r>
      <w:bookmarkEnd w:id="46"/>
    </w:p>
    <w:p w14:paraId="61C402AE">
      <w:pPr>
        <w:rPr>
          <w:rFonts w:hint="eastAsia" w:eastAsia="宋体"/>
          <w:lang w:eastAsia="zh-CN"/>
        </w:rPr>
      </w:pPr>
      <w:r>
        <w:rPr>
          <w:rFonts w:hint="eastAsia" w:ascii="Times New Roman" w:hAnsi="Calibri" w:eastAsia="宋体" w:cs="Times New Roman"/>
          <w:kern w:val="2"/>
          <w:sz w:val="21"/>
          <w:szCs w:val="22"/>
          <w:lang w:val="en-US" w:eastAsia="zh-CN" w:bidi="ar-SA"/>
        </w:rPr>
        <w:t>1. Haga clic en Inicio en la barra de herramientas y, a continuación, seleccione Información de configuración para configurar los puntos de alarma</w:t>
      </w:r>
    </w:p>
    <w:p w14:paraId="07AE4E40">
      <w:r>
        <w:drawing>
          <wp:inline distT="0" distB="0" distL="0" distR="0">
            <wp:extent cx="3943350" cy="876935"/>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3"/>
                    <a:stretch>
                      <a:fillRect/>
                    </a:stretch>
                  </pic:blipFill>
                  <pic:spPr>
                    <a:xfrm>
                      <a:off x="0" y="0"/>
                      <a:ext cx="4011235" cy="892312"/>
                    </a:xfrm>
                    <a:prstGeom prst="rect">
                      <a:avLst/>
                    </a:prstGeom>
                  </pic:spPr>
                </pic:pic>
              </a:graphicData>
            </a:graphic>
          </wp:inline>
        </w:drawing>
      </w:r>
    </w:p>
    <w:p w14:paraId="5052939C"/>
    <w:p w14:paraId="0B72AD05">
      <w:pPr>
        <w:jc w:val="center"/>
      </w:pPr>
      <w:r>
        <w:drawing>
          <wp:inline distT="0" distB="0" distL="0" distR="0">
            <wp:extent cx="1729740" cy="232156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4"/>
                    <a:stretch>
                      <a:fillRect/>
                    </a:stretch>
                  </pic:blipFill>
                  <pic:spPr>
                    <a:xfrm>
                      <a:off x="0" y="0"/>
                      <a:ext cx="1736975" cy="2330813"/>
                    </a:xfrm>
                    <a:prstGeom prst="rect">
                      <a:avLst/>
                    </a:prstGeom>
                  </pic:spPr>
                </pic:pic>
              </a:graphicData>
            </a:graphic>
          </wp:inline>
        </w:drawing>
      </w:r>
    </w:p>
    <w:p w14:paraId="1CE1E5F1">
      <w:pPr>
        <w:jc w:val="center"/>
        <w:rPr>
          <w:rFonts w:hint="eastAsia" w:eastAsia="宋体"/>
          <w:lang w:eastAsia="zh-CN"/>
        </w:rPr>
      </w:pPr>
      <w:r>
        <w:rPr>
          <w:rFonts w:hint="eastAsia" w:ascii="Times New Roman" w:hAnsi="Calibri" w:eastAsia="宋体" w:cs="Times New Roman"/>
          <w:kern w:val="2"/>
          <w:sz w:val="21"/>
          <w:szCs w:val="22"/>
          <w:lang w:val="en-US" w:eastAsia="zh-CN" w:bidi="ar-SA"/>
        </w:rPr>
        <w:t>Figura 4.7.1 Configuración del punto de alarma</w:t>
      </w:r>
    </w:p>
    <w:p w14:paraId="3DEF0354">
      <w:pPr>
        <w:jc w:val="left"/>
        <w:rPr>
          <w:rFonts w:hint="eastAsia" w:eastAsia="宋体"/>
          <w:lang w:eastAsia="zh-CN"/>
        </w:rPr>
      </w:pPr>
      <w:r>
        <w:rPr>
          <w:rFonts w:hint="eastAsia" w:ascii="Times New Roman" w:hAnsi="Calibri" w:eastAsia="宋体" w:cs="Times New Roman"/>
          <w:kern w:val="2"/>
          <w:sz w:val="21"/>
          <w:szCs w:val="22"/>
          <w:lang w:val="en-US" w:eastAsia="zh-CN" w:bidi="ar-SA"/>
        </w:rPr>
        <w:t>2. Haga clic en Modificar y, a continuación, en Salir</w:t>
      </w:r>
    </w:p>
    <w:p w14:paraId="3A0CEE77">
      <w:pPr>
        <w:pStyle w:val="3"/>
        <w:sectPr>
          <w:footerReference r:id="rId4" w:type="default"/>
          <w:pgSz w:w="11906" w:h="16838"/>
          <w:pgMar w:top="1440" w:right="1800" w:bottom="1440" w:left="1800" w:header="851" w:footer="992" w:gutter="0"/>
          <w:cols w:space="425" w:num="1"/>
          <w:docGrid w:type="lines" w:linePitch="312" w:charSpace="0"/>
        </w:sectPr>
      </w:pPr>
    </w:p>
    <w:p w14:paraId="2F50292C">
      <w:pPr>
        <w:pStyle w:val="3"/>
        <w:rPr>
          <w:rFonts w:hint="eastAsia" w:eastAsia="黑体"/>
          <w:lang w:eastAsia="zh-CN"/>
        </w:rPr>
      </w:pPr>
      <w:bookmarkStart w:id="47" w:name="_Toc97643662"/>
      <w:r>
        <w:rPr>
          <w:rFonts w:hint="eastAsia" w:ascii="Times New Roman" w:eastAsia="黑体" w:hAnsiTheme="majorHAnsi" w:cstheme="majorBidi"/>
          <w:b/>
          <w:bCs/>
          <w:kern w:val="2"/>
          <w:sz w:val="28"/>
          <w:szCs w:val="32"/>
          <w:lang w:val="en-US" w:eastAsia="zh-CN" w:bidi="ar-SA"/>
        </w:rPr>
        <w:t>4.8. Configuración de los puntos de posición de escaneo</w:t>
      </w:r>
      <w:bookmarkEnd w:id="47"/>
    </w:p>
    <w:p w14:paraId="47BB2B13">
      <w:pPr>
        <w:pStyle w:val="4"/>
        <w:rPr>
          <w:rFonts w:hint="eastAsia" w:eastAsia="黑体"/>
          <w:b w:val="0"/>
          <w:bCs w:val="0"/>
          <w:lang w:eastAsia="zh-CN"/>
        </w:rPr>
      </w:pPr>
      <w:bookmarkStart w:id="48" w:name="_Toc97643663"/>
      <w:r>
        <w:rPr>
          <w:rFonts w:hint="eastAsia" w:ascii="Times New Roman" w:hAnsi="Calibri" w:eastAsia="黑体" w:cs="Times New Roman"/>
          <w:b w:val="0"/>
          <w:bCs w:val="0"/>
          <w:kern w:val="2"/>
          <w:sz w:val="21"/>
          <w:szCs w:val="32"/>
          <w:lang w:val="en-US" w:eastAsia="zh-CN" w:bidi="ar-SA"/>
        </w:rPr>
        <w:t>4.8.1 Ajuste manual de los puntos de posición</w:t>
      </w:r>
      <w:bookmarkEnd w:id="48"/>
    </w:p>
    <w:p w14:paraId="46FED582">
      <w:pPr>
        <w:rPr>
          <w:rFonts w:hint="eastAsia" w:eastAsia="宋体"/>
          <w:lang w:eastAsia="zh-CN"/>
        </w:rPr>
      </w:pPr>
      <w:r>
        <w:rPr>
          <w:rFonts w:hint="eastAsia" w:ascii="Times New Roman" w:hAnsi="Calibri" w:eastAsia="宋体" w:cs="Times New Roman"/>
          <w:kern w:val="2"/>
          <w:sz w:val="21"/>
          <w:szCs w:val="22"/>
          <w:lang w:val="en-US" w:eastAsia="zh-CN" w:bidi="ar-SA"/>
        </w:rPr>
        <w:t>Tras conectar la señal de vídeo, puede configurar los puntos de posición y ajustarlos vertical y horizontalmente en el lado derecho del software.</w:t>
      </w:r>
    </w:p>
    <w:p w14:paraId="7DB1D6E3">
      <w:r>
        <w:drawing>
          <wp:inline distT="0" distB="0" distL="0" distR="0">
            <wp:extent cx="1256030" cy="203898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5"/>
                    <a:stretch>
                      <a:fillRect/>
                    </a:stretch>
                  </pic:blipFill>
                  <pic:spPr>
                    <a:xfrm>
                      <a:off x="0" y="0"/>
                      <a:ext cx="1274141" cy="2068169"/>
                    </a:xfrm>
                    <a:prstGeom prst="rect">
                      <a:avLst/>
                    </a:prstGeom>
                  </pic:spPr>
                </pic:pic>
              </a:graphicData>
            </a:graphic>
          </wp:inline>
        </w:drawing>
      </w:r>
    </w:p>
    <w:p w14:paraId="67BEA38C">
      <w:pPr>
        <w:pStyle w:val="4"/>
        <w:rPr>
          <w:rFonts w:hint="eastAsia" w:eastAsia="黑体"/>
          <w:b w:val="0"/>
          <w:bCs w:val="0"/>
          <w:lang w:eastAsia="zh-CN"/>
        </w:rPr>
      </w:pPr>
      <w:bookmarkStart w:id="49" w:name="_Toc97643664"/>
      <w:r>
        <w:rPr>
          <w:rFonts w:hint="eastAsia" w:ascii="Times New Roman" w:hAnsi="Calibri" w:eastAsia="黑体" w:cs="Times New Roman"/>
          <w:b w:val="0"/>
          <w:bCs w:val="0"/>
          <w:kern w:val="2"/>
          <w:sz w:val="21"/>
          <w:szCs w:val="32"/>
          <w:lang w:val="en-US" w:eastAsia="zh-CN" w:bidi="ar-SA"/>
        </w:rPr>
        <w:t>4.8.2 Almacenamiento del punto de ubicación</w:t>
      </w:r>
      <w:bookmarkEnd w:id="49"/>
    </w:p>
    <w:p w14:paraId="13732D62">
      <w:pPr>
        <w:rPr>
          <w:rFonts w:hint="eastAsia" w:eastAsia="宋体"/>
          <w:lang w:eastAsia="zh-CN"/>
        </w:rPr>
      </w:pPr>
      <w:r>
        <w:rPr>
          <w:rFonts w:hint="eastAsia" w:ascii="Times New Roman" w:hAnsi="Calibri" w:eastAsia="宋体" w:cs="Times New Roman"/>
          <w:kern w:val="2"/>
          <w:sz w:val="21"/>
          <w:szCs w:val="22"/>
          <w:lang w:val="en-US" w:eastAsia="zh-CN" w:bidi="ar-SA"/>
        </w:rPr>
        <w:t>1. Después de ajustar manualmente los puntos de posición, guárdelos haciendo clic en la herramienta "Lista de recorrido" de la barra de herramientas derecha del software.</w:t>
      </w:r>
    </w:p>
    <w:p w14:paraId="3E02B7EC">
      <w:r>
        <w:drawing>
          <wp:inline distT="0" distB="0" distL="0" distR="0">
            <wp:extent cx="818515" cy="44386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6"/>
                    <a:stretch>
                      <a:fillRect/>
                    </a:stretch>
                  </pic:blipFill>
                  <pic:spPr>
                    <a:xfrm>
                      <a:off x="0" y="0"/>
                      <a:ext cx="831180" cy="450810"/>
                    </a:xfrm>
                    <a:prstGeom prst="rect">
                      <a:avLst/>
                    </a:prstGeom>
                  </pic:spPr>
                </pic:pic>
              </a:graphicData>
            </a:graphic>
          </wp:inline>
        </w:drawing>
      </w:r>
    </w:p>
    <w:p w14:paraId="0A400318">
      <w:pPr>
        <w:rPr>
          <w:rFonts w:hint="eastAsia" w:eastAsia="宋体"/>
          <w:lang w:eastAsia="zh-CN"/>
        </w:rPr>
      </w:pPr>
      <w:r>
        <w:rPr>
          <w:rFonts w:hint="eastAsia" w:ascii="Times New Roman" w:hAnsi="Calibri" w:eastAsia="宋体" w:cs="Times New Roman"/>
          <w:kern w:val="2"/>
          <w:sz w:val="21"/>
          <w:szCs w:val="22"/>
          <w:lang w:val="en-US" w:eastAsia="zh-CN" w:bidi="ar-SA"/>
        </w:rPr>
        <w:t>2. La tabla de recorrido del software se muestra de la siguiente manera</w:t>
      </w:r>
    </w:p>
    <w:p w14:paraId="6C850ABC">
      <w:pPr>
        <w:ind w:leftChars="-337" w:hanging="707" w:hangingChars="337"/>
      </w:pPr>
      <w:r>
        <w:drawing>
          <wp:inline distT="0" distB="0" distL="0" distR="0">
            <wp:extent cx="6182995" cy="154241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7"/>
                    <a:stretch>
                      <a:fillRect/>
                    </a:stretch>
                  </pic:blipFill>
                  <pic:spPr>
                    <a:xfrm>
                      <a:off x="0" y="0"/>
                      <a:ext cx="6233172" cy="1554916"/>
                    </a:xfrm>
                    <a:prstGeom prst="rect">
                      <a:avLst/>
                    </a:prstGeom>
                  </pic:spPr>
                </pic:pic>
              </a:graphicData>
            </a:graphic>
          </wp:inline>
        </w:drawing>
      </w:r>
    </w:p>
    <w:p w14:paraId="45DE1AB0">
      <w:pPr>
        <w:rPr>
          <w:rFonts w:hint="eastAsia" w:eastAsia="宋体"/>
          <w:lang w:eastAsia="zh-CN"/>
        </w:rPr>
      </w:pPr>
      <w:r>
        <w:rPr>
          <w:rFonts w:hint="eastAsia" w:ascii="Times New Roman" w:hAnsi="Calibri" w:eastAsia="宋体" w:cs="Times New Roman"/>
          <w:kern w:val="2"/>
          <w:sz w:val="21"/>
          <w:szCs w:val="22"/>
          <w:lang w:val="en-US" w:eastAsia="zh-CN" w:bidi="ar-SA"/>
        </w:rPr>
        <w:t>3. Haga clic en la ubicación de registro para abrir una ventana. Guarde el nombre del punto de registro, como "Esquina de la pared", y luego haga clic en Aceptar.</w:t>
      </w:r>
    </w:p>
    <w:p w14:paraId="6769451E">
      <w:r>
        <w:drawing>
          <wp:inline distT="0" distB="0" distL="0" distR="0">
            <wp:extent cx="5274310" cy="13462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8"/>
                    <a:stretch>
                      <a:fillRect/>
                    </a:stretch>
                  </pic:blipFill>
                  <pic:spPr>
                    <a:xfrm>
                      <a:off x="0" y="0"/>
                      <a:ext cx="5274310" cy="1346200"/>
                    </a:xfrm>
                    <a:prstGeom prst="rect">
                      <a:avLst/>
                    </a:prstGeom>
                  </pic:spPr>
                </pic:pic>
              </a:graphicData>
            </a:graphic>
          </wp:inline>
        </w:drawing>
      </w:r>
    </w:p>
    <w:p w14:paraId="60E0D669"/>
    <w:p w14:paraId="529F808A">
      <w:pPr>
        <w:pStyle w:val="3"/>
        <w:rPr>
          <w:rFonts w:hint="eastAsia" w:eastAsia="黑体"/>
          <w:lang w:eastAsia="zh-CN"/>
        </w:rPr>
      </w:pPr>
      <w:bookmarkStart w:id="50" w:name="_Toc97643665"/>
      <w:r>
        <w:rPr>
          <w:rFonts w:hint="eastAsia" w:ascii="Times New Roman" w:eastAsia="黑体" w:hAnsiTheme="majorHAnsi" w:cstheme="majorBidi"/>
          <w:b/>
          <w:bCs/>
          <w:kern w:val="2"/>
          <w:sz w:val="28"/>
          <w:szCs w:val="32"/>
          <w:lang w:val="en-US" w:eastAsia="zh-CN" w:bidi="ar-SA"/>
        </w:rPr>
        <w:t>4.9 Configuración de la ruta de recorrido</w:t>
      </w:r>
      <w:bookmarkEnd w:id="50"/>
    </w:p>
    <w:p w14:paraId="63609AF1">
      <w:pPr>
        <w:rPr>
          <w:rFonts w:hint="eastAsia" w:eastAsia="宋体"/>
          <w:lang w:eastAsia="zh-CN"/>
        </w:rPr>
      </w:pPr>
      <w:r>
        <w:rPr>
          <w:rFonts w:hint="eastAsia" w:ascii="Times New Roman" w:hAnsi="Calibri" w:eastAsia="宋体" w:cs="Times New Roman"/>
          <w:kern w:val="2"/>
          <w:sz w:val="21"/>
          <w:szCs w:val="22"/>
          <w:lang w:val="en-US" w:eastAsia="zh-CN" w:bidi="ar-SA"/>
        </w:rPr>
        <w:t>Después de configurar los puntos de posición en 4.8, puede combinarlos en una ruta de recorrido.</w:t>
      </w:r>
    </w:p>
    <w:p w14:paraId="6A4A10D4">
      <w:pPr>
        <w:ind w:firstLine="420" w:firstLineChars="200"/>
        <w:rPr>
          <w:rFonts w:hint="eastAsia" w:eastAsia="宋体"/>
          <w:lang w:eastAsia="zh-CN"/>
        </w:rPr>
      </w:pPr>
      <w:r>
        <w:rPr>
          <w:rFonts w:hint="eastAsia" w:ascii="Times New Roman" w:hAnsi="Calibri" w:eastAsia="宋体" w:cs="Times New Roman"/>
          <w:kern w:val="2"/>
          <w:sz w:val="21"/>
          <w:szCs w:val="22"/>
          <w:lang w:val="en-US" w:eastAsia="zh-CN" w:bidi="ar-SA"/>
        </w:rPr>
        <w:t>Añadir a la ruta de recorrido</w:t>
      </w:r>
    </w:p>
    <w:p w14:paraId="229A5E81">
      <w:pPr>
        <w:pStyle w:val="27"/>
        <w:ind w:left="360" w:firstLine="0" w:firstLineChars="0"/>
        <w:rPr>
          <w:rFonts w:hint="eastAsia" w:eastAsia="宋体"/>
          <w:lang w:eastAsia="zh-CN"/>
        </w:rPr>
      </w:pPr>
      <w:r>
        <w:rPr>
          <w:rFonts w:hint="eastAsia" w:ascii="Times New Roman" w:hAnsi="Calibri" w:eastAsia="宋体" w:cs="Times New Roman"/>
          <w:kern w:val="2"/>
          <w:sz w:val="21"/>
          <w:szCs w:val="22"/>
          <w:lang w:val="en-US" w:eastAsia="zh-CN" w:bidi="ar-SA"/>
        </w:rPr>
        <w:t>En la barra de información de puntos preestablecidos, haga clic con el botón derecho para abrir un cuadro de diálogo y añadir a la ruta de recorrido especificada.</w:t>
      </w:r>
    </w:p>
    <w:p w14:paraId="13E578FF">
      <w:pPr>
        <w:pStyle w:val="27"/>
        <w:ind w:left="360" w:firstLine="0" w:firstLineChars="0"/>
      </w:pPr>
      <w:r>
        <w:drawing>
          <wp:inline distT="0" distB="0" distL="0" distR="0">
            <wp:extent cx="5274310" cy="131191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9"/>
                    <a:stretch>
                      <a:fillRect/>
                    </a:stretch>
                  </pic:blipFill>
                  <pic:spPr>
                    <a:xfrm>
                      <a:off x="0" y="0"/>
                      <a:ext cx="5274310" cy="1311910"/>
                    </a:xfrm>
                    <a:prstGeom prst="rect">
                      <a:avLst/>
                    </a:prstGeom>
                  </pic:spPr>
                </pic:pic>
              </a:graphicData>
            </a:graphic>
          </wp:inline>
        </w:drawing>
      </w:r>
    </w:p>
    <w:p w14:paraId="65EED847">
      <w:pPr>
        <w:pStyle w:val="27"/>
        <w:ind w:left="360" w:firstLine="0" w:firstLineChars="0"/>
        <w:jc w:val="left"/>
        <w:rPr>
          <w:rFonts w:hint="eastAsia" w:eastAsia="宋体"/>
          <w:lang w:eastAsia="zh-CN"/>
        </w:rPr>
      </w:pPr>
      <w:r>
        <w:rPr>
          <w:rFonts w:hint="eastAsia" w:ascii="Times New Roman" w:hAnsi="Calibri" w:eastAsia="宋体" w:cs="Times New Roman"/>
          <w:kern w:val="2"/>
          <w:sz w:val="21"/>
          <w:szCs w:val="22"/>
          <w:lang w:val="en-US" w:eastAsia="zh-CN" w:bidi="ar-SA"/>
        </w:rPr>
        <w:t>2. Establezca el tiempo de movimiento, que representa la duración de la permanencia en la ubicación especificada.</w:t>
      </w:r>
    </w:p>
    <w:p w14:paraId="664B37D0">
      <w:pPr>
        <w:pStyle w:val="27"/>
        <w:ind w:left="360" w:firstLine="0" w:firstLineChars="0"/>
        <w:jc w:val="left"/>
        <w:rPr>
          <w:rFonts w:hint="eastAsia" w:eastAsia="宋体"/>
          <w:lang w:eastAsia="zh-CN"/>
        </w:rPr>
      </w:pPr>
      <w:r>
        <w:rPr>
          <w:rFonts w:hint="eastAsia" w:ascii="Times New Roman" w:hAnsi="Calibri" w:eastAsia="宋体" w:cs="Times New Roman"/>
          <w:kern w:val="2"/>
          <w:sz w:val="21"/>
          <w:szCs w:val="22"/>
          <w:lang w:val="en-US" w:eastAsia="zh-CN" w:bidi="ar-SA"/>
        </w:rPr>
        <w:t>3. Después de añadir varios puntos de ruta a la ruta de recorrido, haga clic en "Guardar recorrido" para guardar la ruta.</w:t>
      </w:r>
    </w:p>
    <w:p w14:paraId="323E1403">
      <w:pPr>
        <w:pStyle w:val="27"/>
        <w:ind w:left="360" w:firstLine="0" w:firstLineChars="0"/>
        <w:jc w:val="left"/>
      </w:pPr>
      <w:r>
        <w:drawing>
          <wp:inline distT="0" distB="0" distL="0" distR="0">
            <wp:extent cx="5274310" cy="126365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0"/>
                    <a:stretch>
                      <a:fillRect/>
                    </a:stretch>
                  </pic:blipFill>
                  <pic:spPr>
                    <a:xfrm>
                      <a:off x="0" y="0"/>
                      <a:ext cx="5274310" cy="1263650"/>
                    </a:xfrm>
                    <a:prstGeom prst="rect">
                      <a:avLst/>
                    </a:prstGeom>
                  </pic:spPr>
                </pic:pic>
              </a:graphicData>
            </a:graphic>
          </wp:inline>
        </w:drawing>
      </w:r>
    </w:p>
    <w:p w14:paraId="17A42A4E">
      <w:pPr>
        <w:pStyle w:val="3"/>
        <w:rPr>
          <w:rFonts w:hint="eastAsia" w:eastAsia="黑体"/>
          <w:lang w:eastAsia="zh-CN"/>
        </w:rPr>
      </w:pPr>
      <w:bookmarkStart w:id="51" w:name="_Toc97643666"/>
      <w:r>
        <w:rPr>
          <w:rFonts w:hint="eastAsia" w:ascii="Times New Roman" w:eastAsia="黑体" w:hAnsiTheme="majorHAnsi" w:cstheme="majorBidi"/>
          <w:b/>
          <w:bCs/>
          <w:kern w:val="2"/>
          <w:sz w:val="28"/>
          <w:szCs w:val="32"/>
          <w:lang w:val="en-US" w:eastAsia="zh-CN" w:bidi="ar-SA"/>
        </w:rPr>
        <w:t>El modo de recorrido comienza a las 4:10</w:t>
      </w:r>
      <w:bookmarkEnd w:id="51"/>
    </w:p>
    <w:p w14:paraId="332F9DC4">
      <w:pPr>
        <w:rPr>
          <w:rFonts w:hint="eastAsia" w:eastAsia="宋体"/>
          <w:lang w:eastAsia="zh-CN"/>
        </w:rPr>
      </w:pPr>
      <w:r>
        <w:rPr>
          <w:rFonts w:hint="eastAsia" w:ascii="Times New Roman" w:hAnsi="Calibri" w:eastAsia="宋体" w:cs="Times New Roman"/>
          <w:kern w:val="2"/>
          <w:sz w:val="21"/>
          <w:szCs w:val="22"/>
          <w:lang w:val="en-US" w:eastAsia="zh-CN" w:bidi="ar-SA"/>
        </w:rPr>
        <w:t>Seleccione el número de ruta de recorrido correspondiente e inicie la llamada</w:t>
      </w:r>
    </w:p>
    <w:p w14:paraId="5E67022F">
      <w:r>
        <w:rPr>
          <w:rFonts w:hint="eastAsia"/>
        </w:rPr>
        <w:drawing>
          <wp:inline distT="0" distB="0" distL="0" distR="0">
            <wp:extent cx="1556385" cy="11684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578231" cy="1184981"/>
                    </a:xfrm>
                    <a:prstGeom prst="rect">
                      <a:avLst/>
                    </a:prstGeom>
                    <a:noFill/>
                    <a:ln>
                      <a:noFill/>
                    </a:ln>
                  </pic:spPr>
                </pic:pic>
              </a:graphicData>
            </a:graphic>
          </wp:inline>
        </w:drawing>
      </w:r>
    </w:p>
    <w:p w14:paraId="4F8F31C4"/>
    <w:p w14:paraId="1C33750E">
      <w:pPr>
        <w:pStyle w:val="3"/>
        <w:rPr>
          <w:rFonts w:hint="eastAsia" w:eastAsia="黑体"/>
          <w:lang w:eastAsia="zh-CN"/>
        </w:rPr>
      </w:pPr>
      <w:bookmarkStart w:id="52" w:name="_Toc97643667"/>
      <w:r>
        <w:rPr>
          <w:rFonts w:hint="eastAsia" w:ascii="Times New Roman" w:eastAsia="黑体" w:hAnsiTheme="majorHAnsi" w:cstheme="majorBidi"/>
          <w:b/>
          <w:bCs/>
          <w:kern w:val="2"/>
          <w:sz w:val="28"/>
          <w:szCs w:val="32"/>
          <w:lang w:val="en-US" w:eastAsia="zh-CN" w:bidi="ar-SA"/>
        </w:rPr>
        <w:t>4.11 Ver historial</w:t>
      </w:r>
      <w:bookmarkEnd w:id="52"/>
    </w:p>
    <w:p w14:paraId="4508396F">
      <w:pPr>
        <w:rPr>
          <w:rFonts w:hint="eastAsia" w:eastAsia="宋体"/>
          <w:lang w:eastAsia="zh-CN"/>
        </w:rPr>
      </w:pPr>
      <w:r>
        <w:rPr>
          <w:rFonts w:hint="eastAsia" w:ascii="Times New Roman" w:hAnsi="Calibri" w:eastAsia="宋体" w:cs="Times New Roman"/>
          <w:kern w:val="2"/>
          <w:sz w:val="21"/>
          <w:szCs w:val="22"/>
          <w:lang w:val="en-US" w:eastAsia="zh-CN" w:bidi="ar-SA"/>
        </w:rPr>
        <w:t>1. Haga clic en "Leer datos" en la barra de herramientas para abrir el cuadro de diálogo y seleccione la fecha correspondiente</w:t>
      </w:r>
    </w:p>
    <w:p w14:paraId="40777F54">
      <w:r>
        <w:drawing>
          <wp:inline distT="0" distB="0" distL="0" distR="0">
            <wp:extent cx="3371215" cy="82359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2"/>
                    <a:stretch>
                      <a:fillRect/>
                    </a:stretch>
                  </pic:blipFill>
                  <pic:spPr>
                    <a:xfrm>
                      <a:off x="0" y="0"/>
                      <a:ext cx="3387711" cy="827591"/>
                    </a:xfrm>
                    <a:prstGeom prst="rect">
                      <a:avLst/>
                    </a:prstGeom>
                  </pic:spPr>
                </pic:pic>
              </a:graphicData>
            </a:graphic>
          </wp:inline>
        </w:drawing>
      </w:r>
    </w:p>
    <w:p w14:paraId="0B0187A3">
      <w:pPr>
        <w:rPr>
          <w:rFonts w:hint="eastAsia" w:eastAsia="宋体"/>
          <w:lang w:eastAsia="zh-CN"/>
        </w:rPr>
      </w:pPr>
      <w:r>
        <w:rPr>
          <w:rFonts w:hint="eastAsia" w:ascii="Times New Roman" w:hAnsi="Calibri" w:eastAsia="宋体" w:cs="Times New Roman"/>
          <w:kern w:val="2"/>
          <w:sz w:val="21"/>
          <w:szCs w:val="22"/>
          <w:lang w:val="en-US" w:eastAsia="zh-CN" w:bidi="ar-SA"/>
        </w:rPr>
        <w:t xml:space="preserve">2. Haga clic en 'Curva histórica' en el lado derecho del software para cambiar a la visualización de la curva histórica.</w:t>
      </w:r>
      <w:r>
        <w:drawing>
          <wp:inline distT="0" distB="0" distL="0" distR="0">
            <wp:extent cx="890270" cy="288925"/>
            <wp:effectExtent l="0" t="0" r="24130" b="1587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33"/>
                    <a:stretch>
                      <a:fillRect/>
                    </a:stretch>
                  </pic:blipFill>
                  <pic:spPr>
                    <a:xfrm>
                      <a:off x="0" y="0"/>
                      <a:ext cx="910254" cy="295638"/>
                    </a:xfrm>
                    <a:prstGeom prst="rect">
                      <a:avLst/>
                    </a:prstGeom>
                  </pic:spPr>
                </pic:pic>
              </a:graphicData>
            </a:graphic>
          </wp:inline>
        </w:drawing>
      </w:r>
      <w:r>
        <w:rPr>
          <w:rFonts w:hint="eastAsia" w:ascii="Times New Roman" w:hAnsi="Calibri" w:eastAsia="宋体" w:cs="Times New Roman"/>
          <w:kern w:val="2"/>
          <w:sz w:val="21"/>
          <w:szCs w:val="22"/>
          <w:lang w:val="en-US" w:eastAsia="zh-CN" w:bidi="ar-SA"/>
        </w:rPr>
        <w:t/>
      </w:r>
    </w:p>
    <w:p w14:paraId="1A936DDA">
      <w:r>
        <w:drawing>
          <wp:inline distT="0" distB="0" distL="0" distR="0">
            <wp:extent cx="5274310" cy="4250055"/>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34"/>
                    <a:stretch>
                      <a:fillRect/>
                    </a:stretch>
                  </pic:blipFill>
                  <pic:spPr>
                    <a:xfrm>
                      <a:off x="0" y="0"/>
                      <a:ext cx="5274310" cy="4250055"/>
                    </a:xfrm>
                    <a:prstGeom prst="rect">
                      <a:avLst/>
                    </a:prstGeom>
                  </pic:spPr>
                </pic:pic>
              </a:graphicData>
            </a:graphic>
          </wp:inline>
        </w:drawing>
      </w:r>
    </w:p>
    <w:p w14:paraId="1C322824">
      <w:pPr>
        <w:rPr>
          <w:rFonts w:hint="eastAsia" w:eastAsia="宋体"/>
          <w:lang w:eastAsia="zh-CN"/>
        </w:rPr>
      </w:pPr>
      <w:r>
        <w:rPr>
          <w:rFonts w:hint="eastAsia" w:ascii="Times New Roman" w:hAnsi="Calibri" w:eastAsia="宋体" w:cs="Times New Roman"/>
          <w:kern w:val="2"/>
          <w:sz w:val="21"/>
          <w:szCs w:val="22"/>
          <w:lang w:val="en-US" w:eastAsia="zh-CN" w:bidi="ar-SA"/>
        </w:rPr>
        <w:t>3. Haga clic de nuevo en "Curva histórica" para volver a la interfaz normal de visualización de la curva en tiempo real</w:t>
      </w:r>
    </w:p>
    <w:p w14:paraId="702E9794">
      <w:pPr>
        <w:pStyle w:val="3"/>
        <w:rPr>
          <w:rFonts w:hint="eastAsia" w:eastAsia="黑体"/>
          <w:lang w:eastAsia="zh-CN"/>
        </w:rPr>
      </w:pPr>
      <w:bookmarkStart w:id="53" w:name="_Toc97643668"/>
      <w:r>
        <w:rPr>
          <w:rFonts w:hint="eastAsia" w:ascii="Times New Roman" w:eastAsia="黑体" w:hAnsiTheme="majorHAnsi" w:cstheme="majorBidi"/>
          <w:b/>
          <w:bCs/>
          <w:kern w:val="2"/>
          <w:sz w:val="28"/>
          <w:szCs w:val="32"/>
          <w:lang w:val="en-US" w:eastAsia="zh-CN" w:bidi="ar-SA"/>
        </w:rPr>
        <w:t>4.12 Información del sensor de telemetría</w:t>
      </w:r>
      <w:bookmarkEnd w:id="53"/>
    </w:p>
    <w:p w14:paraId="510CC7CC">
      <w:pPr>
        <w:rPr>
          <w:rFonts w:hint="eastAsia" w:eastAsia="宋体"/>
          <w:lang w:eastAsia="zh-CN"/>
        </w:rPr>
      </w:pPr>
      <w:r>
        <w:rPr>
          <w:rFonts w:hint="eastAsia" w:ascii="Times New Roman" w:hAnsi="Calibri" w:eastAsia="宋体" w:cs="Times New Roman"/>
          <w:kern w:val="2"/>
          <w:sz w:val="21"/>
          <w:szCs w:val="22"/>
          <w:lang w:val="en-US" w:eastAsia="zh-CN" w:bidi="ar-SA"/>
        </w:rPr>
        <w:t>Intensidad del láser: indica la intensidad de señal actual del sensor.</w:t>
      </w:r>
    </w:p>
    <w:p w14:paraId="539E42A0">
      <w:pPr>
        <w:rPr>
          <w:rFonts w:hint="eastAsia" w:eastAsia="宋体"/>
          <w:lang w:eastAsia="zh-CN"/>
        </w:rPr>
      </w:pPr>
      <w:r>
        <w:rPr>
          <w:rFonts w:hint="eastAsia" w:ascii="Times New Roman" w:hAnsi="Calibri" w:eastAsia="宋体" w:cs="Times New Roman"/>
          <w:kern w:val="2"/>
          <w:sz w:val="21"/>
          <w:szCs w:val="22"/>
          <w:lang w:val="en-US" w:eastAsia="zh-CN" w:bidi="ar-SA"/>
        </w:rPr>
        <w:t>Interruptor de luz roja: interruptor de la luz indicadora.</w:t>
      </w:r>
    </w:p>
    <w:p w14:paraId="152F3935">
      <w:pPr>
        <w:rPr>
          <w:rFonts w:hint="eastAsia" w:eastAsia="宋体"/>
          <w:lang w:eastAsia="zh-CN"/>
        </w:rPr>
      </w:pPr>
      <w:r>
        <w:rPr>
          <w:rFonts w:hint="eastAsia" w:ascii="Times New Roman" w:hAnsi="Calibri" w:eastAsia="宋体" w:cs="Times New Roman"/>
          <w:kern w:val="2"/>
          <w:sz w:val="21"/>
          <w:szCs w:val="22"/>
          <w:lang w:val="en-US" w:eastAsia="zh-CN" w:bidi="ar-SA"/>
        </w:rPr>
        <w:t>Estado del láser: si el láser funciona correctamente.</w:t>
      </w:r>
    </w:p>
    <w:p w14:paraId="00193AAA">
      <w:r>
        <w:drawing>
          <wp:inline distT="0" distB="0" distL="0" distR="0">
            <wp:extent cx="1882775" cy="205105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5"/>
                    <a:stretch>
                      <a:fillRect/>
                    </a:stretch>
                  </pic:blipFill>
                  <pic:spPr>
                    <a:xfrm>
                      <a:off x="0" y="0"/>
                      <a:ext cx="1892632" cy="2061617"/>
                    </a:xfrm>
                    <a:prstGeom prst="rect">
                      <a:avLst/>
                    </a:prstGeom>
                  </pic:spPr>
                </pic:pic>
              </a:graphicData>
            </a:graphic>
          </wp:inline>
        </w:drawing>
      </w:r>
    </w:p>
    <w:p w14:paraId="1137EDA1">
      <w:pPr>
        <w:jc w:val="left"/>
        <w:sectPr>
          <w:pgSz w:w="11906" w:h="16838"/>
          <w:pgMar w:top="1440" w:right="1800" w:bottom="1440" w:left="1800" w:header="851" w:footer="992" w:gutter="0"/>
          <w:cols w:space="425" w:num="1"/>
          <w:docGrid w:type="lines" w:linePitch="312" w:charSpace="0"/>
        </w:sectPr>
      </w:pPr>
    </w:p>
    <w:p w14:paraId="5DD8CFB5">
      <w:pPr>
        <w:pStyle w:val="2"/>
        <w:rPr>
          <w:rFonts w:hint="eastAsia" w:eastAsia="黑体"/>
          <w:lang w:eastAsia="zh-CN"/>
        </w:rPr>
      </w:pPr>
      <w:bookmarkStart w:id="54" w:name="_Toc97643669"/>
      <w:r>
        <w:rPr>
          <w:rFonts w:hint="eastAsia" w:ascii="Times New Roman" w:hAnsi="Calibri" w:eastAsia="黑体" w:cs="Times New Roman"/>
          <w:b/>
          <w:bCs/>
          <w:kern w:val="44"/>
          <w:sz w:val="32"/>
          <w:szCs w:val="44"/>
          <w:lang w:val="en-US" w:eastAsia="zh-CN" w:bidi="ar-SA"/>
        </w:rPr>
        <w:t>V. Factores que afectan a la precisión</w:t>
      </w:r>
      <w:bookmarkEnd w:id="54"/>
    </w:p>
    <w:p w14:paraId="22F2271D">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Cuando las temperaturas son altas o las velocidades del viento son fuertes, la difusión del gas se produce más rápidamente. En consecuencia, cuando los volúmenes de fuga son mínimos, el gas que escapa no puede contenerse eficazmente, lo que puede provocar desviaciones significativas en los valores de detección.</w:t>
      </w:r>
    </w:p>
    <w:p w14:paraId="133D2A01">
      <w:pPr>
        <w:pStyle w:val="2"/>
        <w:rPr>
          <w:rFonts w:hint="eastAsia" w:eastAsia="黑体"/>
          <w:lang w:eastAsia="zh-CN"/>
        </w:rPr>
      </w:pPr>
      <w:bookmarkStart w:id="55" w:name="_Toc97643670"/>
      <w:bookmarkStart w:id="56" w:name="_Toc462756374"/>
      <w:r>
        <w:rPr>
          <w:rFonts w:hint="eastAsia" w:ascii="Times New Roman" w:hAnsi="Calibri" w:eastAsia="黑体" w:cs="Times New Roman"/>
          <w:b/>
          <w:bCs/>
          <w:kern w:val="44"/>
          <w:sz w:val="32"/>
          <w:szCs w:val="44"/>
          <w:lang w:val="en-US" w:eastAsia="zh-CN" w:bidi="ar-SA"/>
        </w:rPr>
        <w:t>VI. Solución de fallos comunes</w:t>
      </w:r>
      <w:bookmarkEnd w:id="55"/>
      <w:bookmarkEnd w:id="56"/>
    </w:p>
    <w:tbl>
      <w:tblPr>
        <w:tblStyle w:val="28"/>
        <w:tblW w:w="7195"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548"/>
        <w:gridCol w:w="2438"/>
        <w:gridCol w:w="3209"/>
      </w:tblGrid>
      <w:tr w14:paraId="5EBF79B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97" w:hRule="atLeast"/>
        </w:trPr>
        <w:tc>
          <w:tcPr>
            <w:tcW w:w="1548" w:type="dxa"/>
          </w:tcPr>
          <w:p w14:paraId="41E3E134">
            <w:pPr>
              <w:jc w:val="cente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pregunta</w:t>
            </w:r>
          </w:p>
        </w:tc>
        <w:tc>
          <w:tcPr>
            <w:tcW w:w="2438" w:type="dxa"/>
          </w:tcPr>
          <w:p w14:paraId="1E232865">
            <w:pPr>
              <w:jc w:val="cente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causa probable</w:t>
            </w:r>
          </w:p>
        </w:tc>
        <w:tc>
          <w:tcPr>
            <w:tcW w:w="3209" w:type="dxa"/>
          </w:tcPr>
          <w:p w14:paraId="065148C7">
            <w:pPr>
              <w:jc w:val="cente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solución</w:t>
            </w:r>
          </w:p>
        </w:tc>
      </w:tr>
      <w:tr w14:paraId="41A2251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59" w:hRule="atLeast"/>
        </w:trPr>
        <w:tc>
          <w:tcPr>
            <w:tcW w:w="1548" w:type="dxa"/>
          </w:tcPr>
          <w:p w14:paraId="421E8B49">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El instrumento no funciona</w:t>
            </w:r>
          </w:p>
        </w:tc>
        <w:tc>
          <w:tcPr>
            <w:tcW w:w="2438" w:type="dxa"/>
          </w:tcPr>
          <w:p w14:paraId="6DDF8730">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El interruptor de alimentación no está encendido</w:t>
            </w:r>
          </w:p>
        </w:tc>
        <w:tc>
          <w:tcPr>
            <w:tcW w:w="3209" w:type="dxa"/>
          </w:tcPr>
          <w:p w14:paraId="7F26A241">
            <w:pPr>
              <w:tabs>
                <w:tab w:val="left" w:pos="420"/>
              </w:tabs>
              <w:ind w:left="42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Encienda la alimentación eléctrica del instrumento</w:t>
            </w:r>
          </w:p>
        </w:tc>
      </w:tr>
      <w:tr w14:paraId="55FDE5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45" w:hRule="atLeast"/>
        </w:trPr>
        <w:tc>
          <w:tcPr>
            <w:tcW w:w="1548" w:type="dxa"/>
            <w:vMerge w:val="restart"/>
          </w:tcPr>
          <w:p w14:paraId="6F783E8C">
            <w:pPr>
              <w:ind w:left="630" w:hanging="630" w:hangingChars="3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Recepción del terminal de usuario</w:t>
            </w:r>
          </w:p>
          <w:p w14:paraId="66E28244">
            <w:pPr>
              <w:ind w:left="630" w:hanging="630" w:hangingChars="3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Datos no disponibles</w:t>
            </w:r>
          </w:p>
        </w:tc>
        <w:tc>
          <w:tcPr>
            <w:tcW w:w="2438" w:type="dxa"/>
          </w:tcPr>
          <w:p w14:paraId="2AE7F3D8">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Contaminación grave del espejo de la ventana</w:t>
            </w:r>
          </w:p>
        </w:tc>
        <w:tc>
          <w:tcPr>
            <w:tcW w:w="3209" w:type="dxa"/>
          </w:tcPr>
          <w:p w14:paraId="6597B9A7">
            <w:pPr>
              <w:tabs>
                <w:tab w:val="left" w:pos="420"/>
              </w:tabs>
              <w:ind w:left="42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Limpie la superficie del espejo con un paño suave y limpio.</w:t>
            </w:r>
          </w:p>
        </w:tc>
      </w:tr>
      <w:tr w14:paraId="289E211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62" w:hRule="atLeast"/>
        </w:trPr>
        <w:tc>
          <w:tcPr>
            <w:tcW w:w="1548" w:type="dxa"/>
            <w:vMerge w:val="continue"/>
          </w:tcPr>
          <w:p w14:paraId="4FF5F033">
            <w:pPr>
              <w:ind w:left="630" w:hanging="630" w:hangingChars="300"/>
              <w:rPr>
                <w:rFonts w:ascii="仿宋" w:hAnsi="仿宋" w:eastAsia="仿宋" w:cs="仿宋"/>
              </w:rPr>
            </w:pPr>
          </w:p>
        </w:tc>
        <w:tc>
          <w:tcPr>
            <w:tcW w:w="2438" w:type="dxa"/>
          </w:tcPr>
          <w:p w14:paraId="41E25983">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Interrupción de la transmisión de datos</w:t>
            </w:r>
          </w:p>
        </w:tc>
        <w:tc>
          <w:tcPr>
            <w:tcW w:w="3209" w:type="dxa"/>
          </w:tcPr>
          <w:p w14:paraId="031E7F17">
            <w:pPr>
              <w:tabs>
                <w:tab w:val="left" w:pos="420"/>
              </w:tabs>
              <w:ind w:left="42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Compruebe si la conexión de transferencia de datos se estableció correctamente</w:t>
            </w:r>
          </w:p>
        </w:tc>
      </w:tr>
    </w:tbl>
    <w:p w14:paraId="02C54CE6">
      <w:pPr>
        <w:pStyle w:val="2"/>
        <w:tabs>
          <w:tab w:val="right" w:pos="8306"/>
        </w:tabs>
        <w:rPr>
          <w:rFonts w:hint="eastAsia" w:eastAsia="黑体"/>
          <w:lang w:eastAsia="zh-CN"/>
        </w:rPr>
      </w:pPr>
      <w:bookmarkStart w:id="57" w:name="_Toc97643671"/>
      <w:bookmarkStart w:id="58" w:name="_Toc462756375"/>
      <w:r>
        <w:rPr>
          <w:rFonts w:hint="eastAsia" w:ascii="Times New Roman" w:hAnsi="Calibri" w:eastAsia="黑体" w:cs="Times New Roman"/>
          <w:b/>
          <w:bCs/>
          <w:kern w:val="44"/>
          <w:sz w:val="32"/>
          <w:szCs w:val="44"/>
          <w:lang w:val="en-US" w:eastAsia="zh-CN" w:bidi="ar-SA"/>
        </w:rPr>
        <w:t>VII. Apéndice</w:t>
      </w:r>
      <w:bookmarkEnd w:id="57"/>
      <w:bookmarkEnd w:id="58"/>
      <w:r>
        <w:rPr>
          <w:rFonts w:hint="eastAsia" w:ascii="Times New Roman" w:hAnsi="Calibri" w:eastAsia="黑体" w:cs="Times New Roman"/>
          <w:b/>
          <w:bCs/>
          <w:kern w:val="44"/>
          <w:sz w:val="32"/>
          <w:szCs w:val="44"/>
          <w:lang w:val="en-US" w:eastAsia="zh-CN" w:bidi="ar-SA"/>
        </w:rPr>
        <w:t xml:space="preserve"/>
      </w:r>
      <w:r>
        <w:rPr>
          <w:rFonts w:hint="eastAsia" w:ascii="Times New Roman" w:hAnsi="Calibri" w:eastAsia="黑体" w:cs="Times New Roman"/>
          <w:b/>
          <w:bCs/>
          <w:kern w:val="44"/>
          <w:sz w:val="32"/>
          <w:szCs w:val="44"/>
          <w:lang w:val="en-US" w:eastAsia="zh-CN" w:bidi="ar-SA"/>
        </w:rPr>
        <w:tab/>
      </w:r>
    </w:p>
    <w:p w14:paraId="4D5E359D">
      <w:pPr>
        <w:pStyle w:val="3"/>
        <w:rPr>
          <w:rFonts w:hint="eastAsia" w:eastAsia="黑体"/>
          <w:lang w:eastAsia="zh-CN"/>
        </w:rPr>
      </w:pPr>
      <w:bookmarkStart w:id="59" w:name="_Toc462756376"/>
      <w:bookmarkStart w:id="60" w:name="_Toc97643672"/>
      <w:r>
        <w:rPr>
          <w:rFonts w:hint="eastAsia" w:ascii="Times New Roman" w:eastAsia="黑体" w:hAnsiTheme="majorHAnsi" w:cstheme="majorBidi"/>
          <w:b/>
          <w:bCs/>
          <w:kern w:val="2"/>
          <w:sz w:val="28"/>
          <w:szCs w:val="32"/>
          <w:lang w:val="en-US" w:eastAsia="zh-CN" w:bidi="ar-SA"/>
        </w:rPr>
        <w:t>7.1 Mantenimiento y cuidado diarios</w:t>
      </w:r>
      <w:bookmarkEnd w:id="59"/>
      <w:bookmarkEnd w:id="60"/>
    </w:p>
    <w:p w14:paraId="0D61D0FB">
      <w:pPr>
        <w:ind w:firstLine="420" w:firstLineChars="200"/>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Para mantener el instrumento en óptimas condiciones, realice el mantenimiento diario del siguiente modo.</w:t>
      </w:r>
    </w:p>
    <w:p w14:paraId="382C5242">
      <w:pPr>
        <w:rPr>
          <w:rFonts w:ascii="Arial" w:hAnsi="Arial" w:cs="Arial"/>
          <w:color w:val="000000"/>
          <w:sz w:val="18"/>
          <w:szCs w:val="18"/>
        </w:rPr>
      </w:pPr>
    </w:p>
    <w:tbl>
      <w:tblPr>
        <w:tblStyle w:val="28"/>
        <w:tblW w:w="7175"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80"/>
        <w:gridCol w:w="6295"/>
      </w:tblGrid>
      <w:tr w14:paraId="45FEB1F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61" w:hRule="atLeast"/>
        </w:trPr>
        <w:tc>
          <w:tcPr>
            <w:tcW w:w="880" w:type="dxa"/>
            <w:vMerge w:val="restart"/>
          </w:tcPr>
          <w:p w14:paraId="2C1893FA">
            <w:pPr>
              <w:rPr>
                <w:rFonts w:ascii="仿宋" w:hAnsi="仿宋" w:eastAsia="仿宋" w:cs="仿宋"/>
              </w:rPr>
            </w:pPr>
          </w:p>
          <w:p w14:paraId="08E8E02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superficie del espejo</w:t>
            </w:r>
          </w:p>
        </w:tc>
        <w:tc>
          <w:tcPr>
            <w:tcW w:w="6295" w:type="dxa"/>
          </w:tcPr>
          <w:p w14:paraId="2CC2F6A9">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Limpie suavemente la superficie del espejo con un paño de limpieza específico o un paño suave y limpio.</w:t>
            </w:r>
          </w:p>
        </w:tc>
      </w:tr>
      <w:tr w14:paraId="359CD5F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39" w:hRule="atLeast"/>
        </w:trPr>
        <w:tc>
          <w:tcPr>
            <w:tcW w:w="880" w:type="dxa"/>
            <w:vMerge w:val="continue"/>
          </w:tcPr>
          <w:p w14:paraId="3BC0AE02">
            <w:pPr>
              <w:rPr>
                <w:rFonts w:ascii="仿宋" w:hAnsi="仿宋" w:eastAsia="仿宋" w:cs="仿宋"/>
              </w:rPr>
            </w:pPr>
          </w:p>
        </w:tc>
        <w:tc>
          <w:tcPr>
            <w:tcW w:w="6295" w:type="dxa"/>
          </w:tcPr>
          <w:p w14:paraId="11666C9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Nota: No limpie la lente con las manos ni con otros paños sucios para evitar arañar la superficie.</w:t>
            </w:r>
          </w:p>
        </w:tc>
      </w:tr>
    </w:tbl>
    <w:p w14:paraId="43252CA5">
      <w:pPr>
        <w:widowControl/>
        <w:jc w:val="left"/>
        <w:rPr>
          <w:rFonts w:ascii="仿宋" w:hAnsi="仿宋" w:eastAsia="仿宋"/>
          <w:b/>
          <w:szCs w:val="21"/>
        </w:rPr>
      </w:pPr>
    </w:p>
    <w:p w14:paraId="36D17A28">
      <w:pPr>
        <w:widowControl/>
        <w:jc w:val="left"/>
        <w:rPr>
          <w:rFonts w:ascii="仿宋" w:hAnsi="仿宋" w:eastAsia="仿宋"/>
          <w:b/>
          <w:szCs w:val="21"/>
        </w:rPr>
      </w:pPr>
      <w:r>
        <w:rPr>
          <w:rFonts w:ascii="仿宋" w:hAnsi="仿宋" w:eastAsia="仿宋"/>
          <w:b/>
          <w:szCs w:val="21"/>
        </w:rPr>
        <w:br w:type="page"/>
      </w:r>
    </w:p>
    <w:p w14:paraId="5739DD49">
      <w:pPr>
        <w:pStyle w:val="3"/>
        <w:rPr>
          <w:rFonts w:hint="eastAsia" w:eastAsia="黑体"/>
          <w:lang w:eastAsia="zh-CN"/>
        </w:rPr>
      </w:pPr>
      <w:bookmarkStart w:id="61" w:name="_Toc462756377"/>
      <w:bookmarkStart w:id="62" w:name="_Toc97643673"/>
      <w:r>
        <w:rPr>
          <w:rFonts w:hint="eastAsia" w:ascii="Times New Roman" w:eastAsia="黑体" w:hAnsiTheme="majorHAnsi" w:cstheme="majorBidi"/>
          <w:b/>
          <w:bCs/>
          <w:kern w:val="2"/>
          <w:sz w:val="28"/>
          <w:szCs w:val="32"/>
          <w:lang w:val="en-US" w:eastAsia="zh-CN" w:bidi="ar-SA"/>
        </w:rPr>
        <w:t>7.2 Parámetros de rendimiento</w:t>
      </w:r>
      <w:bookmarkEnd w:id="61"/>
      <w:bookmarkEnd w:id="62"/>
    </w:p>
    <w:tbl>
      <w:tblPr>
        <w:tblStyle w:val="13"/>
        <w:tblW w:w="7360"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775"/>
        <w:gridCol w:w="5585"/>
      </w:tblGrid>
      <w:tr w14:paraId="02A88BB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360" w:type="dxa"/>
            <w:gridSpan w:val="2"/>
            <w:shd w:val="pct10" w:color="auto" w:fill="auto"/>
          </w:tcPr>
          <w:p w14:paraId="2DBC5934">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parámetro de rendimiento</w:t>
            </w:r>
          </w:p>
        </w:tc>
      </w:tr>
      <w:tr w14:paraId="567267D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0DE2472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Tipos de gases</w:t>
            </w:r>
          </w:p>
        </w:tc>
        <w:tc>
          <w:tcPr>
            <w:tcW w:w="5585" w:type="dxa"/>
          </w:tcPr>
          <w:p w14:paraId="04F26CB7">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Metano (CH4)</w:t>
            </w:r>
          </w:p>
        </w:tc>
      </w:tr>
      <w:tr w14:paraId="4B3D457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7921CB5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método de prueba</w:t>
            </w:r>
          </w:p>
        </w:tc>
        <w:tc>
          <w:tcPr>
            <w:tcW w:w="5585" w:type="dxa"/>
          </w:tcPr>
          <w:p w14:paraId="118990D9">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Tecnología de espectroscopia de absorción láser</w:t>
            </w:r>
          </w:p>
        </w:tc>
      </w:tr>
      <w:tr w14:paraId="3168B5D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787063ED">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Rango de detección</w:t>
            </w:r>
          </w:p>
        </w:tc>
        <w:tc>
          <w:tcPr>
            <w:tcW w:w="5585" w:type="dxa"/>
          </w:tcPr>
          <w:p w14:paraId="24DC625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（0～50000）ppm·m</w:t>
            </w:r>
          </w:p>
        </w:tc>
      </w:tr>
      <w:tr w14:paraId="65BCB69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02F7CA66">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sensibilidad</w:t>
            </w:r>
          </w:p>
        </w:tc>
        <w:tc>
          <w:tcPr>
            <w:tcW w:w="5585" w:type="dxa"/>
          </w:tcPr>
          <w:p w14:paraId="5D096390">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5 ppm·m</w:t>
            </w:r>
          </w:p>
        </w:tc>
      </w:tr>
      <w:tr w14:paraId="00E7C69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543EE0D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Distancia de detección</w:t>
            </w:r>
          </w:p>
        </w:tc>
        <w:tc>
          <w:tcPr>
            <w:tcW w:w="5585" w:type="dxa"/>
          </w:tcPr>
          <w:p w14:paraId="4A6FFDC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(0–100) metros</w:t>
            </w:r>
          </w:p>
        </w:tc>
      </w:tr>
      <w:tr w14:paraId="2706CDE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BEE7D2B">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tiempo de respuesta</w:t>
            </w:r>
          </w:p>
        </w:tc>
        <w:tc>
          <w:tcPr>
            <w:tcW w:w="5585" w:type="dxa"/>
          </w:tcPr>
          <w:p w14:paraId="2FC297E0">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0.1 segundos</w:t>
            </w:r>
          </w:p>
        </w:tc>
      </w:tr>
      <w:tr w14:paraId="5AA2176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B634D7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Ángulo de rotación horizontal</w:t>
            </w:r>
          </w:p>
        </w:tc>
        <w:tc>
          <w:tcPr>
            <w:tcW w:w="5585" w:type="dxa"/>
          </w:tcPr>
          <w:p w14:paraId="6F5EFBE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0°～360°</w:t>
            </w:r>
          </w:p>
        </w:tc>
      </w:tr>
      <w:tr w14:paraId="0C354DD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5C406A09">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Ángulo de rotación vertical</w:t>
            </w:r>
          </w:p>
        </w:tc>
        <w:tc>
          <w:tcPr>
            <w:tcW w:w="5585" w:type="dxa"/>
          </w:tcPr>
          <w:p w14:paraId="5A52715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-90°～90°</w:t>
            </w:r>
          </w:p>
        </w:tc>
      </w:tr>
      <w:tr w14:paraId="05A85AA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BDE7A93">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niveles de protección</w:t>
            </w:r>
          </w:p>
        </w:tc>
        <w:tc>
          <w:tcPr>
            <w:tcW w:w="5585" w:type="dxa"/>
          </w:tcPr>
          <w:p w14:paraId="666EAD24">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IP68</w:t>
            </w:r>
          </w:p>
        </w:tc>
      </w:tr>
      <w:tr w14:paraId="0FC9D60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404B7E66">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Tiempo de funcionamiento continuo</w:t>
            </w:r>
          </w:p>
        </w:tc>
        <w:tc>
          <w:tcPr>
            <w:tcW w:w="5585" w:type="dxa"/>
          </w:tcPr>
          <w:p w14:paraId="099A6883">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&gt;25,000 horas</w:t>
            </w:r>
          </w:p>
        </w:tc>
      </w:tr>
      <w:tr w14:paraId="0952C88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360" w:type="dxa"/>
            <w:gridSpan w:val="2"/>
            <w:shd w:val="pct10" w:color="auto" w:fill="auto"/>
          </w:tcPr>
          <w:p w14:paraId="0D19260E">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parámetro funcional</w:t>
            </w:r>
          </w:p>
        </w:tc>
      </w:tr>
      <w:tr w14:paraId="3EA4F18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33EC2017">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Configuración de alarma</w:t>
            </w:r>
          </w:p>
        </w:tc>
        <w:tc>
          <w:tcPr>
            <w:tcW w:w="5585" w:type="dxa"/>
          </w:tcPr>
          <w:p w14:paraId="1AE54DC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Puede establecer los umbrales de advertencia y de alarma</w:t>
            </w:r>
          </w:p>
        </w:tc>
      </w:tr>
      <w:tr w14:paraId="4A96915F">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E70F58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Método de salida</w:t>
            </w:r>
          </w:p>
        </w:tc>
        <w:tc>
          <w:tcPr>
            <w:tcW w:w="5585" w:type="dxa"/>
          </w:tcPr>
          <w:p w14:paraId="44A4662C">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RS485</w:t>
            </w:r>
          </w:p>
        </w:tc>
      </w:tr>
      <w:tr w14:paraId="599B06D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42A22B3B">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demarcar</w:t>
            </w:r>
          </w:p>
        </w:tc>
        <w:tc>
          <w:tcPr>
            <w:tcW w:w="5585" w:type="dxa"/>
          </w:tcPr>
          <w:p w14:paraId="2901B9EB">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Calibrado en fábrica</w:t>
            </w:r>
          </w:p>
        </w:tc>
      </w:tr>
      <w:tr w14:paraId="02CE7D3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5CCCBA44">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calibración oportuna</w:t>
            </w:r>
          </w:p>
        </w:tc>
        <w:tc>
          <w:tcPr>
            <w:tcW w:w="5585" w:type="dxa"/>
          </w:tcPr>
          <w:p w14:paraId="1F46E9F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calibración automática</w:t>
            </w:r>
          </w:p>
        </w:tc>
      </w:tr>
      <w:tr w14:paraId="1DF54D7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360" w:type="dxa"/>
            <w:gridSpan w:val="2"/>
            <w:shd w:val="pct10" w:color="auto" w:fill="auto"/>
          </w:tcPr>
          <w:p w14:paraId="09B2A0E8">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Parámetros de apariencia externa</w:t>
            </w:r>
          </w:p>
        </w:tc>
      </w:tr>
      <w:tr w14:paraId="07F836D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59DAF0B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tamaño del producto</w:t>
            </w:r>
          </w:p>
        </w:tc>
        <w:tc>
          <w:tcPr>
            <w:tcW w:w="5585" w:type="dxa"/>
          </w:tcPr>
          <w:p w14:paraId="70E1306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Longitud×Ancho×Altura: 465×295×420</w:t>
            </w:r>
          </w:p>
        </w:tc>
      </w:tr>
      <w:tr w14:paraId="24343FA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C6A1C64">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Peso neto del producto</w:t>
            </w:r>
          </w:p>
        </w:tc>
        <w:tc>
          <w:tcPr>
            <w:tcW w:w="5585" w:type="dxa"/>
          </w:tcPr>
          <w:p w14:paraId="3F53050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30±0.5Kg</w:t>
            </w:r>
          </w:p>
        </w:tc>
      </w:tr>
      <w:tr w14:paraId="00783DE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3" w:hRule="atLeast"/>
          <w:jc w:val="center"/>
        </w:trPr>
        <w:tc>
          <w:tcPr>
            <w:tcW w:w="1775" w:type="dxa"/>
          </w:tcPr>
          <w:p w14:paraId="56E7DB0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modo de alimentación eléctrica</w:t>
            </w:r>
          </w:p>
        </w:tc>
        <w:tc>
          <w:tcPr>
            <w:tcW w:w="5585" w:type="dxa"/>
          </w:tcPr>
          <w:p w14:paraId="19310295">
            <w:pPr>
              <w:rPr>
                <w:rFonts w:hint="eastAsia" w:ascii="仿宋" w:hAnsi="仿宋" w:eastAsia="仿宋" w:cs="仿宋"/>
                <w:b/>
                <w:lang w:eastAsia="zh-CN"/>
              </w:rPr>
            </w:pPr>
            <w:r>
              <w:rPr>
                <w:rFonts w:hint="eastAsia" w:ascii="Times New Roman" w:hAnsi="仿宋" w:eastAsia="仿宋" w:cs="仿宋"/>
                <w:b/>
                <w:kern w:val="2"/>
                <w:sz w:val="21"/>
                <w:szCs w:val="22"/>
                <w:lang w:val="en-US" w:eastAsia="zh-CN" w:bidi="ar-SA"/>
              </w:rPr>
              <w:t>CA 220V</w:t>
            </w:r>
          </w:p>
        </w:tc>
      </w:tr>
      <w:tr w14:paraId="6B9605C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7DF35CD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marca antideflagrante</w:t>
            </w:r>
          </w:p>
        </w:tc>
        <w:tc>
          <w:tcPr>
            <w:tcW w:w="5585" w:type="dxa"/>
          </w:tcPr>
          <w:p w14:paraId="736F4A4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Ex db IIC T6 Gb / Ex tb IIIC T80℃ Db</w:t>
            </w:r>
          </w:p>
        </w:tc>
      </w:tr>
      <w:tr w14:paraId="3BF392D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Borders>
              <w:bottom w:val="single" w:color="000000" w:sz="4" w:space="0"/>
            </w:tcBorders>
          </w:tcPr>
          <w:p w14:paraId="6C428EBF">
            <w:pPr>
              <w:rPr>
                <w:rFonts w:ascii="仿宋" w:hAnsi="仿宋" w:eastAsia="仿宋" w:cs="仿宋"/>
              </w:rPr>
            </w:pPr>
          </w:p>
        </w:tc>
        <w:tc>
          <w:tcPr>
            <w:tcW w:w="5585" w:type="dxa"/>
            <w:tcBorders>
              <w:bottom w:val="single" w:color="000000" w:sz="4" w:space="0"/>
            </w:tcBorders>
          </w:tcPr>
          <w:p w14:paraId="4A635896">
            <w:pPr>
              <w:rPr>
                <w:rFonts w:ascii="仿宋" w:hAnsi="仿宋" w:eastAsia="仿宋" w:cs="仿宋"/>
              </w:rPr>
            </w:pPr>
          </w:p>
        </w:tc>
      </w:tr>
      <w:tr w14:paraId="3BF0972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360" w:type="dxa"/>
            <w:gridSpan w:val="2"/>
            <w:shd w:val="clear" w:color="auto" w:fill="E6E6E6"/>
          </w:tcPr>
          <w:p w14:paraId="7916E123">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Parámetros eléctricos de la estructura del mecanismo óptico</w:t>
            </w:r>
          </w:p>
        </w:tc>
      </w:tr>
      <w:tr w14:paraId="2C31A77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6C6F8D4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tensión nominal</w:t>
            </w:r>
          </w:p>
        </w:tc>
        <w:tc>
          <w:tcPr>
            <w:tcW w:w="5585" w:type="dxa"/>
          </w:tcPr>
          <w:p w14:paraId="75C8DA88">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5V</w:t>
            </w:r>
          </w:p>
        </w:tc>
      </w:tr>
      <w:tr w14:paraId="2EEF2FE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278F5B6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corriente nominal</w:t>
            </w:r>
          </w:p>
        </w:tc>
        <w:tc>
          <w:tcPr>
            <w:tcW w:w="5585" w:type="dxa"/>
          </w:tcPr>
          <w:p w14:paraId="1CA739DC">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0.8A</w:t>
            </w:r>
          </w:p>
        </w:tc>
      </w:tr>
      <w:tr w14:paraId="0FBC10BC">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1775" w:type="dxa"/>
          </w:tcPr>
          <w:p w14:paraId="22FD1DE4">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potencia nominal</w:t>
            </w:r>
          </w:p>
        </w:tc>
        <w:tc>
          <w:tcPr>
            <w:tcW w:w="5585" w:type="dxa"/>
          </w:tcPr>
          <w:p w14:paraId="10101B4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4W</w:t>
            </w:r>
          </w:p>
        </w:tc>
      </w:tr>
      <w:tr w14:paraId="5310931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3427600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Número máximo de bucles</w:t>
            </w:r>
          </w:p>
        </w:tc>
        <w:tc>
          <w:tcPr>
            <w:tcW w:w="5585" w:type="dxa"/>
          </w:tcPr>
          <w:p w14:paraId="4EC4B3D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12</w:t>
            </w:r>
          </w:p>
        </w:tc>
      </w:tr>
      <w:tr w14:paraId="0FDA0F7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68DF5B57">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Corriente total máxima del interruptor</w:t>
            </w:r>
          </w:p>
        </w:tc>
        <w:tc>
          <w:tcPr>
            <w:tcW w:w="5585" w:type="dxa"/>
          </w:tcPr>
          <w:p w14:paraId="49124CC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0.8A</w:t>
            </w:r>
          </w:p>
        </w:tc>
      </w:tr>
      <w:tr w14:paraId="5C717AC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10DB8C4E">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Corriente máxima del bucle</w:t>
            </w:r>
          </w:p>
        </w:tc>
        <w:tc>
          <w:tcPr>
            <w:tcW w:w="5585" w:type="dxa"/>
          </w:tcPr>
          <w:p w14:paraId="0F9F9A31">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0.8A</w:t>
            </w:r>
          </w:p>
        </w:tc>
      </w:tr>
      <w:tr w14:paraId="7768C96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19FB824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potencia del láser</w:t>
            </w:r>
          </w:p>
        </w:tc>
        <w:tc>
          <w:tcPr>
            <w:tcW w:w="5585" w:type="dxa"/>
          </w:tcPr>
          <w:p w14:paraId="3061CC6F">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≤10mW</w:t>
            </w:r>
          </w:p>
        </w:tc>
      </w:tr>
      <w:tr w14:paraId="25B973B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360" w:type="dxa"/>
            <w:gridSpan w:val="2"/>
            <w:shd w:val="pct10" w:color="auto" w:fill="auto"/>
          </w:tcPr>
          <w:p w14:paraId="32E0D143">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Entorno de trabajo y configuración</w:t>
            </w:r>
          </w:p>
        </w:tc>
      </w:tr>
      <w:tr w14:paraId="6AD8749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6648A0D8">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temperatura ambiente</w:t>
            </w:r>
          </w:p>
        </w:tc>
        <w:tc>
          <w:tcPr>
            <w:tcW w:w="5585" w:type="dxa"/>
          </w:tcPr>
          <w:p w14:paraId="7891455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（-20～+50）℃</w:t>
            </w:r>
          </w:p>
        </w:tc>
      </w:tr>
      <w:tr w14:paraId="088BA60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63C2A20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humedad ambiente</w:t>
            </w:r>
          </w:p>
        </w:tc>
        <w:tc>
          <w:tcPr>
            <w:tcW w:w="5585" w:type="dxa"/>
          </w:tcPr>
          <w:p w14:paraId="71F43900">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(0–95)% RH, sin condensación</w:t>
            </w:r>
          </w:p>
        </w:tc>
      </w:tr>
      <w:tr w14:paraId="50B8DEC9">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775" w:type="dxa"/>
          </w:tcPr>
          <w:p w14:paraId="13774A85">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atmósfera</w:t>
            </w:r>
          </w:p>
        </w:tc>
        <w:tc>
          <w:tcPr>
            <w:tcW w:w="5585" w:type="dxa"/>
          </w:tcPr>
          <w:p w14:paraId="5CC56F4A">
            <w:pPr>
              <w:rPr>
                <w:rFonts w:hint="eastAsia" w:ascii="仿宋" w:hAnsi="仿宋" w:eastAsia="仿宋" w:cs="仿宋"/>
                <w:lang w:eastAsia="zh-CN"/>
              </w:rPr>
            </w:pPr>
            <w:r>
              <w:rPr>
                <w:rFonts w:hint="eastAsia" w:ascii="Times New Roman" w:hAnsi="仿宋" w:eastAsia="仿宋" w:cs="仿宋"/>
                <w:kern w:val="2"/>
                <w:sz w:val="21"/>
                <w:szCs w:val="22"/>
                <w:lang w:val="en-US" w:eastAsia="zh-CN" w:bidi="ar-SA"/>
              </w:rPr>
              <w:t>70 KPa ～ 106 KPa</w:t>
            </w:r>
          </w:p>
        </w:tc>
      </w:tr>
    </w:tbl>
    <w:p w14:paraId="2502B661">
      <w:pPr>
        <w:widowControl/>
        <w:jc w:val="left"/>
        <w:rPr>
          <w:rFonts w:ascii="仿宋" w:hAnsi="仿宋" w:eastAsia="仿宋" w:cs="仿宋"/>
          <w:sz w:val="28"/>
          <w:szCs w:val="28"/>
        </w:rPr>
      </w:pPr>
    </w:p>
    <w:p w14:paraId="17176E23">
      <w:pPr>
        <w:widowControl/>
        <w:jc w:val="left"/>
        <w:rPr>
          <w:rFonts w:ascii="黑体" w:hAnsi="黑体" w:eastAsia="黑体" w:cs="仿宋"/>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18070">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13B5124">
                          <w:pPr>
                            <w:snapToGrid w:val="0"/>
                            <w:rPr>
                              <w:rFonts w:hint="eastAsia" w:eastAsia="宋体"/>
                              <w:sz w:val="18"/>
                              <w:lang w:eastAsia="zh-CN"/>
                            </w:rPr>
                          </w:pPr>
                          <w:r>
                            <w:rPr>
                              <w:rFonts w:hint="eastAsia" w:ascii="Times New Roman" w:hAnsi="Calibri" w:eastAsia="宋体" w:cs="Times New Roman"/>
                              <w:kern w:val="2"/>
                              <w:sz w:val="18"/>
                              <w:szCs w:val="22"/>
                              <w:lang w:val="en-US" w:eastAsia="zh-CN" w:bidi="ar-SA"/>
                            </w:rPr>
                            <w:t>18</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16</w:t>
                          </w:r>
                          <w:r>
                            <w:rPr>
                              <w:rFonts w:hint="eastAsia"/>
                              <w:sz w:val="18"/>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N2B5q3OAQAAqAMAAA4AAAAAAAAAAQAgAAAAHgEAAGRycy9l&#10;Mm9Eb2MueG1sUEsFBgAAAAAGAAYAWQEAAF4FAAAAAA==&#10;">
              <v:fill on="f" focussize="0,0"/>
              <v:stroke on="f"/>
              <v:imagedata o:title=""/>
              <o:lock v:ext="edit" aspectratio="f"/>
              <v:textbox inset="0mm,0mm,0mm,0mm" style="mso-fit-shape-to-text:t;">
                <w:txbxContent>
                  <w:p w14:paraId="413B5124">
                    <w:pPr>
                      <w:snapToGrid w:val="0"/>
                      <w:rPr>
                        <w:rFonts w:hint="eastAsia" w:eastAsia="宋体"/>
                        <w:sz w:val="18"/>
                        <w:lang w:eastAsia="zh-CN"/>
                      </w:rPr>
                    </w:pPr>
                    <w:r>
                      <w:rPr>
                        <w:rFonts w:hint="eastAsia" w:ascii="Times New Roman" w:hAnsi="Calibri" w:eastAsia="宋体" w:cs="Times New Roman"/>
                        <w:kern w:val="2"/>
                        <w:sz w:val="18"/>
                        <w:szCs w:val="22"/>
                        <w:lang w:val="en-US" w:eastAsia="zh-CN" w:bidi="ar-SA"/>
                      </w:rPr>
                      <w:t>18</w:t>
                    </w: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16</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73ADA">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iZTU1YjUzMzJhNjFkZmMyOTFkZDc3NmQwZDY2NzYifQ=="/>
  </w:docVars>
  <w:rsids>
    <w:rsidRoot w:val="007474B0"/>
    <w:rsid w:val="00025448"/>
    <w:rsid w:val="00030F7D"/>
    <w:rsid w:val="000427AC"/>
    <w:rsid w:val="0005622D"/>
    <w:rsid w:val="00064787"/>
    <w:rsid w:val="00070AFF"/>
    <w:rsid w:val="000762DB"/>
    <w:rsid w:val="00082ED1"/>
    <w:rsid w:val="000A4077"/>
    <w:rsid w:val="000D2231"/>
    <w:rsid w:val="000D61B1"/>
    <w:rsid w:val="000E15EC"/>
    <w:rsid w:val="000E7BF8"/>
    <w:rsid w:val="000F73A5"/>
    <w:rsid w:val="00107959"/>
    <w:rsid w:val="00110FA4"/>
    <w:rsid w:val="00113D30"/>
    <w:rsid w:val="0014522B"/>
    <w:rsid w:val="001C4A60"/>
    <w:rsid w:val="001C77D3"/>
    <w:rsid w:val="001F233C"/>
    <w:rsid w:val="00201630"/>
    <w:rsid w:val="00203FF6"/>
    <w:rsid w:val="00207325"/>
    <w:rsid w:val="00214760"/>
    <w:rsid w:val="00214B25"/>
    <w:rsid w:val="002302F1"/>
    <w:rsid w:val="002313A6"/>
    <w:rsid w:val="002452C7"/>
    <w:rsid w:val="002708A4"/>
    <w:rsid w:val="00270B59"/>
    <w:rsid w:val="002813C7"/>
    <w:rsid w:val="002A3E89"/>
    <w:rsid w:val="002B1281"/>
    <w:rsid w:val="002B661C"/>
    <w:rsid w:val="002C13EF"/>
    <w:rsid w:val="002C1C79"/>
    <w:rsid w:val="002C63D4"/>
    <w:rsid w:val="002C78A5"/>
    <w:rsid w:val="002D26DB"/>
    <w:rsid w:val="002F5A9E"/>
    <w:rsid w:val="00303C3B"/>
    <w:rsid w:val="003168F1"/>
    <w:rsid w:val="00325762"/>
    <w:rsid w:val="003275F9"/>
    <w:rsid w:val="00341797"/>
    <w:rsid w:val="00373394"/>
    <w:rsid w:val="0038507E"/>
    <w:rsid w:val="00396D7B"/>
    <w:rsid w:val="003A7D58"/>
    <w:rsid w:val="003C6146"/>
    <w:rsid w:val="003E05E9"/>
    <w:rsid w:val="003E1741"/>
    <w:rsid w:val="003E657E"/>
    <w:rsid w:val="003E672A"/>
    <w:rsid w:val="004169D0"/>
    <w:rsid w:val="00423250"/>
    <w:rsid w:val="004315FE"/>
    <w:rsid w:val="004408BA"/>
    <w:rsid w:val="0045636D"/>
    <w:rsid w:val="00476661"/>
    <w:rsid w:val="004862D8"/>
    <w:rsid w:val="00491BCD"/>
    <w:rsid w:val="004B0387"/>
    <w:rsid w:val="004B5C40"/>
    <w:rsid w:val="004E6B9D"/>
    <w:rsid w:val="004F2133"/>
    <w:rsid w:val="00532375"/>
    <w:rsid w:val="0053467D"/>
    <w:rsid w:val="00541F48"/>
    <w:rsid w:val="00551BCA"/>
    <w:rsid w:val="0055251C"/>
    <w:rsid w:val="00564366"/>
    <w:rsid w:val="0057320D"/>
    <w:rsid w:val="0057464F"/>
    <w:rsid w:val="00576B38"/>
    <w:rsid w:val="005850B2"/>
    <w:rsid w:val="0058510F"/>
    <w:rsid w:val="00585C37"/>
    <w:rsid w:val="00595016"/>
    <w:rsid w:val="005A08BE"/>
    <w:rsid w:val="005A2B2E"/>
    <w:rsid w:val="005A2C3D"/>
    <w:rsid w:val="005A518D"/>
    <w:rsid w:val="005B073D"/>
    <w:rsid w:val="005B27D5"/>
    <w:rsid w:val="005C2BCC"/>
    <w:rsid w:val="005D612F"/>
    <w:rsid w:val="005E200B"/>
    <w:rsid w:val="00607747"/>
    <w:rsid w:val="00607F8E"/>
    <w:rsid w:val="0061022A"/>
    <w:rsid w:val="00624280"/>
    <w:rsid w:val="00633369"/>
    <w:rsid w:val="0065517D"/>
    <w:rsid w:val="006850F1"/>
    <w:rsid w:val="00686863"/>
    <w:rsid w:val="00690773"/>
    <w:rsid w:val="0069719C"/>
    <w:rsid w:val="006A4A7F"/>
    <w:rsid w:val="006B630C"/>
    <w:rsid w:val="006D6FD5"/>
    <w:rsid w:val="006D7D61"/>
    <w:rsid w:val="006E2535"/>
    <w:rsid w:val="006F4F7D"/>
    <w:rsid w:val="006F572F"/>
    <w:rsid w:val="007474B0"/>
    <w:rsid w:val="00777CE8"/>
    <w:rsid w:val="00792F94"/>
    <w:rsid w:val="007A2A49"/>
    <w:rsid w:val="007D25FD"/>
    <w:rsid w:val="007E1EC0"/>
    <w:rsid w:val="007E5E7A"/>
    <w:rsid w:val="008024FE"/>
    <w:rsid w:val="008066DC"/>
    <w:rsid w:val="008067FC"/>
    <w:rsid w:val="00816E0A"/>
    <w:rsid w:val="00823BEE"/>
    <w:rsid w:val="00830265"/>
    <w:rsid w:val="00836965"/>
    <w:rsid w:val="0084330E"/>
    <w:rsid w:val="00847FFE"/>
    <w:rsid w:val="008522EC"/>
    <w:rsid w:val="00867C38"/>
    <w:rsid w:val="0087585C"/>
    <w:rsid w:val="00881232"/>
    <w:rsid w:val="008B5D0A"/>
    <w:rsid w:val="008C04DD"/>
    <w:rsid w:val="008D1650"/>
    <w:rsid w:val="008D53AD"/>
    <w:rsid w:val="008F2829"/>
    <w:rsid w:val="008F35FB"/>
    <w:rsid w:val="008F362F"/>
    <w:rsid w:val="0090400D"/>
    <w:rsid w:val="009113F0"/>
    <w:rsid w:val="00911D8B"/>
    <w:rsid w:val="00922663"/>
    <w:rsid w:val="0092555A"/>
    <w:rsid w:val="00927162"/>
    <w:rsid w:val="00932ABA"/>
    <w:rsid w:val="0093631E"/>
    <w:rsid w:val="00937B5E"/>
    <w:rsid w:val="00941961"/>
    <w:rsid w:val="00944950"/>
    <w:rsid w:val="00945C22"/>
    <w:rsid w:val="009521C0"/>
    <w:rsid w:val="009B65F7"/>
    <w:rsid w:val="009B74CB"/>
    <w:rsid w:val="009C4563"/>
    <w:rsid w:val="009F4F80"/>
    <w:rsid w:val="00A12027"/>
    <w:rsid w:val="00A2630F"/>
    <w:rsid w:val="00A512A1"/>
    <w:rsid w:val="00A52282"/>
    <w:rsid w:val="00A9301C"/>
    <w:rsid w:val="00AA160F"/>
    <w:rsid w:val="00AA493D"/>
    <w:rsid w:val="00AC0961"/>
    <w:rsid w:val="00AD218E"/>
    <w:rsid w:val="00AE303F"/>
    <w:rsid w:val="00AE55F8"/>
    <w:rsid w:val="00AF1157"/>
    <w:rsid w:val="00B13E59"/>
    <w:rsid w:val="00B20D22"/>
    <w:rsid w:val="00B26B4E"/>
    <w:rsid w:val="00B460C7"/>
    <w:rsid w:val="00B554B1"/>
    <w:rsid w:val="00B84105"/>
    <w:rsid w:val="00B9687F"/>
    <w:rsid w:val="00BB391A"/>
    <w:rsid w:val="00BD2581"/>
    <w:rsid w:val="00BD7D80"/>
    <w:rsid w:val="00BE07C2"/>
    <w:rsid w:val="00BE70F4"/>
    <w:rsid w:val="00BF48B2"/>
    <w:rsid w:val="00C00867"/>
    <w:rsid w:val="00C045C3"/>
    <w:rsid w:val="00C0708E"/>
    <w:rsid w:val="00C07795"/>
    <w:rsid w:val="00C22356"/>
    <w:rsid w:val="00C32472"/>
    <w:rsid w:val="00C36DCF"/>
    <w:rsid w:val="00C411C5"/>
    <w:rsid w:val="00C65239"/>
    <w:rsid w:val="00C677E5"/>
    <w:rsid w:val="00C70F18"/>
    <w:rsid w:val="00C87E1F"/>
    <w:rsid w:val="00CA1027"/>
    <w:rsid w:val="00CA1C9E"/>
    <w:rsid w:val="00CA3E1B"/>
    <w:rsid w:val="00CB54AB"/>
    <w:rsid w:val="00CD1FDD"/>
    <w:rsid w:val="00CD47A7"/>
    <w:rsid w:val="00CE5EAE"/>
    <w:rsid w:val="00CF10CF"/>
    <w:rsid w:val="00D04607"/>
    <w:rsid w:val="00D34470"/>
    <w:rsid w:val="00D426FA"/>
    <w:rsid w:val="00D51FB2"/>
    <w:rsid w:val="00D5201F"/>
    <w:rsid w:val="00D60372"/>
    <w:rsid w:val="00D615FE"/>
    <w:rsid w:val="00D67820"/>
    <w:rsid w:val="00D72311"/>
    <w:rsid w:val="00DA5A8E"/>
    <w:rsid w:val="00DB4EAF"/>
    <w:rsid w:val="00DE1848"/>
    <w:rsid w:val="00E02FF8"/>
    <w:rsid w:val="00E12759"/>
    <w:rsid w:val="00E2696B"/>
    <w:rsid w:val="00E3030F"/>
    <w:rsid w:val="00E45946"/>
    <w:rsid w:val="00E55942"/>
    <w:rsid w:val="00E7016B"/>
    <w:rsid w:val="00E728F9"/>
    <w:rsid w:val="00E73658"/>
    <w:rsid w:val="00E757D3"/>
    <w:rsid w:val="00E901FC"/>
    <w:rsid w:val="00EA3B86"/>
    <w:rsid w:val="00EA7F23"/>
    <w:rsid w:val="00EB3D2B"/>
    <w:rsid w:val="00EC0281"/>
    <w:rsid w:val="00ED4852"/>
    <w:rsid w:val="00EE278B"/>
    <w:rsid w:val="00EE6FE3"/>
    <w:rsid w:val="00EF1FEF"/>
    <w:rsid w:val="00EF2468"/>
    <w:rsid w:val="00F07DED"/>
    <w:rsid w:val="00F14754"/>
    <w:rsid w:val="00F14F8D"/>
    <w:rsid w:val="00F44442"/>
    <w:rsid w:val="00F50D74"/>
    <w:rsid w:val="00F5483F"/>
    <w:rsid w:val="00F56074"/>
    <w:rsid w:val="00F716E0"/>
    <w:rsid w:val="00F91756"/>
    <w:rsid w:val="00FB7A39"/>
    <w:rsid w:val="00FC5F1F"/>
    <w:rsid w:val="00FD057F"/>
    <w:rsid w:val="00FD127E"/>
    <w:rsid w:val="00FE102C"/>
    <w:rsid w:val="08632D42"/>
    <w:rsid w:val="0F313C17"/>
    <w:rsid w:val="24324C0B"/>
    <w:rsid w:val="27FD3A2C"/>
    <w:rsid w:val="378F685E"/>
    <w:rsid w:val="3FBB8D0C"/>
    <w:rsid w:val="43141283"/>
    <w:rsid w:val="4E01544B"/>
    <w:rsid w:val="65C15121"/>
    <w:rsid w:val="674D66CA"/>
    <w:rsid w:val="67F75737"/>
    <w:rsid w:val="682208D8"/>
    <w:rsid w:val="7B64AC23"/>
    <w:rsid w:val="7DFF8101"/>
    <w:rsid w:val="7F816994"/>
    <w:rsid w:val="DBF5790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3"/>
    <w:qFormat/>
    <w:uiPriority w:val="9"/>
    <w:pPr>
      <w:keepNext/>
      <w:keepLines/>
      <w:spacing w:before="340" w:after="330" w:line="578" w:lineRule="auto"/>
      <w:outlineLvl w:val="0"/>
    </w:pPr>
    <w:rPr>
      <w:rFonts w:eastAsia="黑体"/>
      <w:b/>
      <w:bCs/>
      <w:kern w:val="44"/>
      <w:sz w:val="32"/>
      <w:szCs w:val="44"/>
    </w:rPr>
  </w:style>
  <w:style w:type="paragraph" w:styleId="3">
    <w:name w:val="heading 2"/>
    <w:basedOn w:val="1"/>
    <w:next w:val="1"/>
    <w:link w:val="24"/>
    <w:unhideWhenUsed/>
    <w:qFormat/>
    <w:uiPriority w:val="9"/>
    <w:pPr>
      <w:keepNext/>
      <w:keepLines/>
      <w:spacing w:before="260" w:after="260" w:line="416" w:lineRule="auto"/>
      <w:outlineLvl w:val="1"/>
    </w:pPr>
    <w:rPr>
      <w:rFonts w:eastAsia="黑体" w:asciiTheme="majorHAnsi" w:hAnsiTheme="majorHAnsi" w:cstheme="majorBidi"/>
      <w:b/>
      <w:bCs/>
      <w:sz w:val="28"/>
      <w:szCs w:val="32"/>
    </w:rPr>
  </w:style>
  <w:style w:type="paragraph" w:styleId="4">
    <w:name w:val="heading 3"/>
    <w:basedOn w:val="1"/>
    <w:next w:val="1"/>
    <w:link w:val="22"/>
    <w:qFormat/>
    <w:uiPriority w:val="0"/>
    <w:pPr>
      <w:keepNext/>
      <w:keepLines/>
      <w:spacing w:before="260" w:after="260" w:line="416" w:lineRule="auto"/>
      <w:outlineLvl w:val="2"/>
    </w:pPr>
    <w:rPr>
      <w:rFonts w:eastAsia="黑体"/>
      <w:b/>
      <w:bCs/>
      <w:szCs w:val="32"/>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unhideWhenUsed/>
    <w:qFormat/>
    <w:uiPriority w:val="39"/>
    <w:pPr>
      <w:ind w:left="840" w:leftChars="400"/>
    </w:pPr>
  </w:style>
  <w:style w:type="paragraph" w:styleId="6">
    <w:name w:val="Date"/>
    <w:basedOn w:val="1"/>
    <w:next w:val="1"/>
    <w:link w:val="26"/>
    <w:semiHidden/>
    <w:unhideWhenUsed/>
    <w:qFormat/>
    <w:uiPriority w:val="99"/>
    <w:pPr>
      <w:ind w:left="100" w:leftChars="2500"/>
    </w:pPr>
  </w:style>
  <w:style w:type="paragraph" w:styleId="7">
    <w:name w:val="Balloon Text"/>
    <w:basedOn w:val="1"/>
    <w:link w:val="20"/>
    <w:unhideWhenUsed/>
    <w:qFormat/>
    <w:uiPriority w:val="99"/>
    <w:rPr>
      <w:rFonts w:asciiTheme="minorHAnsi" w:hAnsiTheme="minorHAnsi" w:eastAsiaTheme="minorEastAsia" w:cstheme="minorBidi"/>
      <w:sz w:val="18"/>
      <w:szCs w:val="18"/>
    </w:rPr>
  </w:style>
  <w:style w:type="paragraph" w:styleId="8">
    <w:name w:val="footer"/>
    <w:basedOn w:val="1"/>
    <w:link w:val="19"/>
    <w:qFormat/>
    <w:uiPriority w:val="99"/>
    <w:pPr>
      <w:tabs>
        <w:tab w:val="center" w:pos="4153"/>
        <w:tab w:val="right" w:pos="8306"/>
      </w:tabs>
      <w:snapToGrid w:val="0"/>
      <w:jc w:val="left"/>
    </w:pPr>
    <w:rPr>
      <w:rFonts w:eastAsiaTheme="minorEastAsia" w:cstheme="minorBidi"/>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style>
  <w:style w:type="paragraph" w:styleId="11">
    <w:name w:val="toc 2"/>
    <w:basedOn w:val="1"/>
    <w:next w:val="1"/>
    <w:qFormat/>
    <w:uiPriority w:val="39"/>
    <w:pPr>
      <w:ind w:left="420" w:leftChars="200"/>
    </w:p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15">
    <w:name w:val="page number"/>
    <w:basedOn w:val="14"/>
    <w:qFormat/>
    <w:uiPriority w:val="0"/>
  </w:style>
  <w:style w:type="character" w:styleId="16">
    <w:name w:val="Hyperlink"/>
    <w:basedOn w:val="14"/>
    <w:qFormat/>
    <w:uiPriority w:val="99"/>
    <w:rPr>
      <w:color w:val="0000FF"/>
      <w:u w:val="single"/>
    </w:rPr>
  </w:style>
  <w:style w:type="character" w:customStyle="1" w:styleId="17">
    <w:name w:val="页脚 Char"/>
    <w:basedOn w:val="14"/>
    <w:qFormat/>
    <w:uiPriority w:val="99"/>
    <w:rPr>
      <w:rFonts w:ascii="Calibri" w:hAnsi="Calibri"/>
      <w:sz w:val="18"/>
      <w:szCs w:val="18"/>
    </w:rPr>
  </w:style>
  <w:style w:type="character" w:customStyle="1" w:styleId="18">
    <w:name w:val="页眉 Char"/>
    <w:basedOn w:val="14"/>
    <w:link w:val="9"/>
    <w:qFormat/>
    <w:uiPriority w:val="0"/>
    <w:rPr>
      <w:rFonts w:ascii="Calibri" w:hAnsi="Calibri" w:eastAsia="宋体" w:cs="Times New Roman"/>
      <w:sz w:val="18"/>
      <w:szCs w:val="18"/>
    </w:rPr>
  </w:style>
  <w:style w:type="character" w:customStyle="1" w:styleId="19">
    <w:name w:val="页脚 Char1"/>
    <w:basedOn w:val="14"/>
    <w:link w:val="8"/>
    <w:semiHidden/>
    <w:qFormat/>
    <w:uiPriority w:val="99"/>
    <w:rPr>
      <w:sz w:val="18"/>
      <w:szCs w:val="18"/>
    </w:rPr>
  </w:style>
  <w:style w:type="character" w:customStyle="1" w:styleId="20">
    <w:name w:val="批注框文本 Char"/>
    <w:basedOn w:val="14"/>
    <w:link w:val="7"/>
    <w:semiHidden/>
    <w:qFormat/>
    <w:uiPriority w:val="99"/>
    <w:rPr>
      <w:sz w:val="18"/>
      <w:szCs w:val="18"/>
    </w:rPr>
  </w:style>
  <w:style w:type="paragraph" w:customStyle="1" w:styleId="21">
    <w:name w:val="列出段落1"/>
    <w:basedOn w:val="1"/>
    <w:qFormat/>
    <w:uiPriority w:val="34"/>
    <w:pPr>
      <w:ind w:firstLine="420" w:firstLineChars="200"/>
    </w:pPr>
    <w:rPr>
      <w:rFonts w:asciiTheme="minorHAnsi" w:hAnsiTheme="minorHAnsi" w:eastAsiaTheme="minorEastAsia" w:cstheme="minorBidi"/>
    </w:rPr>
  </w:style>
  <w:style w:type="character" w:customStyle="1" w:styleId="22">
    <w:name w:val="标题 3 Char"/>
    <w:basedOn w:val="14"/>
    <w:link w:val="4"/>
    <w:qFormat/>
    <w:uiPriority w:val="0"/>
    <w:rPr>
      <w:rFonts w:ascii="Calibri" w:hAnsi="Calibri" w:eastAsia="黑体" w:cs="Times New Roman"/>
      <w:b/>
      <w:bCs/>
      <w:szCs w:val="32"/>
    </w:rPr>
  </w:style>
  <w:style w:type="character" w:customStyle="1" w:styleId="23">
    <w:name w:val="标题 1 Char"/>
    <w:basedOn w:val="14"/>
    <w:link w:val="2"/>
    <w:qFormat/>
    <w:uiPriority w:val="9"/>
    <w:rPr>
      <w:rFonts w:ascii="Calibri" w:hAnsi="Calibri" w:eastAsia="黑体" w:cs="Times New Roman"/>
      <w:b/>
      <w:bCs/>
      <w:kern w:val="44"/>
      <w:sz w:val="32"/>
      <w:szCs w:val="44"/>
    </w:rPr>
  </w:style>
  <w:style w:type="character" w:customStyle="1" w:styleId="24">
    <w:name w:val="标题 2 Char"/>
    <w:basedOn w:val="14"/>
    <w:link w:val="3"/>
    <w:qFormat/>
    <w:uiPriority w:val="9"/>
    <w:rPr>
      <w:rFonts w:eastAsia="黑体" w:asciiTheme="majorHAnsi" w:hAnsiTheme="majorHAnsi" w:cstheme="majorBidi"/>
      <w:b/>
      <w:bCs/>
      <w:sz w:val="28"/>
      <w:szCs w:val="32"/>
    </w:rPr>
  </w:style>
  <w:style w:type="paragraph" w:customStyle="1" w:styleId="25">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6">
    <w:name w:val="日期 Char"/>
    <w:basedOn w:val="14"/>
    <w:link w:val="6"/>
    <w:semiHidden/>
    <w:qFormat/>
    <w:uiPriority w:val="99"/>
    <w:rPr>
      <w:rFonts w:ascii="Calibri" w:hAnsi="Calibri" w:eastAsia="宋体" w:cs="Times New Roman"/>
      <w:kern w:val="2"/>
      <w:sz w:val="21"/>
      <w:szCs w:val="22"/>
    </w:rPr>
  </w:style>
  <w:style w:type="paragraph" w:styleId="27">
    <w:name w:val="List Paragraph"/>
    <w:basedOn w:val="1"/>
    <w:qFormat/>
    <w:uiPriority w:val="99"/>
    <w:pPr>
      <w:ind w:firstLine="420" w:firstLineChars="200"/>
    </w:pPr>
  </w:style>
  <w:style w:type="table" w:customStyle="1" w:styleId="28">
    <w:name w:val="Grid Table Light"/>
    <w:basedOn w:val="13"/>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customXml" Target="../customXml/item1.xml"/><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Fifth Edition"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FA2BBD-8A9F-43B4-9816-C6EAD7E4298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19</Pages>
  <Words>275</Words>
  <Characters>1355</Characters>
  <Lines>26</Lines>
  <Paragraphs>13</Paragraphs>
  <TotalTime>1</TotalTime>
  <ScaleCrop>false</ScaleCrop>
  <LinksUpToDate>false</LinksUpToDate>
  <CharactersWithSpaces>1583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2018-01-26T14:14:00Z</dcterms:created>
  <dc:creator>km</dc:creator>
  <cp:lastModifiedBy>小牛同学</cp:lastModifiedBy>
  <cp:lastPrinted>2017-08-25T14:06:00Z</cp:lastPrinted>
  <dcterms:modified xsi:type="dcterms:W3CDTF">2026-09-15T06:42:44Z</dcterms:modified>
  <cp:revision>141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9808B1769A2D48618C2F53641BAB3C4C_13</vt:lpwstr>
  </property>
</Properties>
</file>