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9BC39">
      <w:pPr>
        <w:rPr>
          <w:rFonts w:ascii="仿宋" w:hAnsi="仿宋" w:eastAsia="仿宋"/>
          <w:sz w:val="44"/>
          <w:szCs w:val="44"/>
        </w:rPr>
      </w:pPr>
      <w:bookmarkStart w:id="63" w:name="_GoBack"/>
      <w:bookmarkEnd w:id="63"/>
    </w:p>
    <w:p w14:paraId="56B0455D">
      <w:pPr>
        <w:rPr>
          <w:rFonts w:ascii="仿宋" w:hAnsi="仿宋" w:eastAsia="仿宋"/>
          <w:sz w:val="44"/>
          <w:szCs w:val="44"/>
        </w:rPr>
      </w:pPr>
    </w:p>
    <w:p w14:paraId="23E40AEB">
      <w:pPr>
        <w:rPr>
          <w:rFonts w:hint="eastAsia" w:ascii="黑体" w:hAnsi="黑体" w:eastAsia="黑体"/>
          <w:sz w:val="52"/>
          <w:szCs w:val="52"/>
          <w:lang w:eastAsia="zh-CN"/>
        </w:rPr>
      </w:pPr>
      <w:r>
        <w:rPr>
          <w:rFonts w:hint="eastAsia" w:ascii="Times New Roman" w:hAnsi="黑体" w:eastAsia="黑体" w:cs="Times New Roman"/>
          <w:kern w:val="2"/>
          <w:sz w:val="52"/>
          <w:szCs w:val="52"/>
          <w:lang w:val="en-US" w:eastAsia="zh-CN" w:bidi="ar-SA"/>
        </w:rPr>
        <w:t>Система онлайн-мониторинга газа с лазерным PTZ-сканированием</w:t>
      </w:r>
    </w:p>
    <w:p w14:paraId="417516B8">
      <w:pPr>
        <w:jc w:val="center"/>
        <w:rPr>
          <w:rFonts w:hint="eastAsia" w:ascii="黑体" w:hAnsi="黑体" w:eastAsia="黑体"/>
          <w:sz w:val="52"/>
          <w:szCs w:val="52"/>
          <w:lang w:eastAsia="zh-CN"/>
        </w:rPr>
      </w:pPr>
      <w:r>
        <w:rPr>
          <w:rFonts w:hint="eastAsia" w:ascii="Times New Roman" w:hAnsi="黑体" w:eastAsia="黑体" w:cs="Times New Roman"/>
          <w:kern w:val="2"/>
          <w:sz w:val="52"/>
          <w:szCs w:val="52"/>
          <w:lang w:val="en-US" w:eastAsia="zh-CN" w:bidi="ar-SA"/>
        </w:rPr>
        <w:t>XT-G6000C</w:t>
      </w:r>
    </w:p>
    <w:p w14:paraId="0AD23BC1">
      <w:pPr>
        <w:jc w:val="center"/>
        <w:rPr>
          <w:rFonts w:ascii="黑体" w:hAnsi="黑体" w:eastAsia="黑体"/>
          <w:sz w:val="52"/>
          <w:szCs w:val="52"/>
        </w:rPr>
      </w:pPr>
    </w:p>
    <w:p w14:paraId="0F01022D">
      <w:pPr>
        <w:jc w:val="center"/>
        <w:rPr>
          <w:rFonts w:ascii="黑体" w:hAnsi="黑体" w:eastAsia="黑体"/>
          <w:sz w:val="52"/>
          <w:szCs w:val="52"/>
        </w:rPr>
      </w:pPr>
    </w:p>
    <w:p w14:paraId="39D59171">
      <w:pPr>
        <w:jc w:val="center"/>
        <w:rPr>
          <w:rFonts w:hint="eastAsia" w:ascii="黑体" w:hAnsi="黑体" w:eastAsia="黑体"/>
          <w:sz w:val="52"/>
          <w:szCs w:val="52"/>
          <w:lang w:eastAsia="zh-CN"/>
        </w:rPr>
      </w:pPr>
      <w:r>
        <w:rPr>
          <w:rFonts w:hint="eastAsia" w:ascii="Times New Roman" w:hAnsi="黑体" w:eastAsia="黑体" w:cs="Times New Roman"/>
          <w:kern w:val="2"/>
          <w:sz w:val="52"/>
          <w:szCs w:val="52"/>
          <w:lang w:val="en-US" w:eastAsia="zh-CN" w:bidi="ar-SA"/>
        </w:rPr>
        <w:t>руководство по эксплуатации</w:t>
      </w:r>
    </w:p>
    <w:p w14:paraId="750D4D74">
      <w:pPr>
        <w:jc w:val="center"/>
        <w:rPr>
          <w:rFonts w:ascii="仿宋" w:hAnsi="仿宋" w:eastAsia="仿宋"/>
          <w:sz w:val="44"/>
          <w:szCs w:val="44"/>
        </w:rPr>
      </w:pPr>
    </w:p>
    <w:p w14:paraId="6D7246D0">
      <w:pPr>
        <w:jc w:val="center"/>
        <w:rPr>
          <w:rFonts w:ascii="仿宋" w:hAnsi="仿宋" w:eastAsia="仿宋"/>
          <w:sz w:val="44"/>
          <w:szCs w:val="44"/>
        </w:rPr>
      </w:pPr>
    </w:p>
    <w:p w14:paraId="58123820">
      <w:pPr>
        <w:jc w:val="center"/>
        <w:rPr>
          <w:rFonts w:ascii="仿宋" w:hAnsi="仿宋" w:eastAsia="仿宋"/>
          <w:sz w:val="44"/>
          <w:szCs w:val="44"/>
        </w:rPr>
      </w:pPr>
    </w:p>
    <w:p w14:paraId="5245ACA8">
      <w:pPr>
        <w:rPr>
          <w:rFonts w:ascii="仿宋" w:hAnsi="仿宋" w:eastAsia="仿宋" w:cs="仿宋"/>
        </w:rPr>
      </w:pPr>
    </w:p>
    <w:p w14:paraId="7811B5E9">
      <w:pPr>
        <w:jc w:val="center"/>
        <w:rPr>
          <w:rFonts w:ascii="黑体" w:hAnsi="黑体" w:eastAsia="黑体" w:cs="仿宋"/>
          <w:b/>
          <w:bCs/>
          <w:sz w:val="32"/>
          <w:szCs w:val="32"/>
        </w:rPr>
      </w:pPr>
    </w:p>
    <w:p w14:paraId="689FA918">
      <w:pPr>
        <w:jc w:val="center"/>
        <w:rPr>
          <w:rFonts w:ascii="黑体" w:hAnsi="黑体" w:eastAsia="黑体" w:cs="仿宋"/>
          <w:b/>
          <w:bCs/>
          <w:sz w:val="32"/>
          <w:szCs w:val="32"/>
        </w:rPr>
      </w:pPr>
    </w:p>
    <w:p w14:paraId="455ADB6B">
      <w:pPr>
        <w:jc w:val="center"/>
        <w:rPr>
          <w:rFonts w:ascii="黑体" w:hAnsi="黑体" w:eastAsia="黑体" w:cs="仿宋"/>
          <w:b/>
          <w:bCs/>
          <w:sz w:val="32"/>
          <w:szCs w:val="32"/>
        </w:rPr>
      </w:pPr>
    </w:p>
    <w:p w14:paraId="70D065DB">
      <w:pPr>
        <w:jc w:val="center"/>
        <w:rPr>
          <w:rFonts w:ascii="黑体" w:hAnsi="黑体" w:eastAsia="黑体" w:cs="仿宋"/>
          <w:b/>
          <w:bCs/>
          <w:sz w:val="32"/>
          <w:szCs w:val="32"/>
        </w:rPr>
      </w:pPr>
    </w:p>
    <w:p w14:paraId="2FFB8517">
      <w:pPr>
        <w:jc w:val="center"/>
        <w:rPr>
          <w:rFonts w:ascii="黑体" w:hAnsi="黑体" w:eastAsia="黑体" w:cs="仿宋"/>
          <w:b/>
          <w:bCs/>
          <w:sz w:val="32"/>
          <w:szCs w:val="32"/>
        </w:rPr>
      </w:pPr>
    </w:p>
    <w:p w14:paraId="1DBB79D9">
      <w:pPr>
        <w:jc w:val="center"/>
        <w:rPr>
          <w:rFonts w:ascii="黑体" w:hAnsi="黑体" w:eastAsia="黑体" w:cs="仿宋"/>
          <w:b/>
          <w:bCs/>
          <w:sz w:val="32"/>
          <w:szCs w:val="32"/>
        </w:rPr>
      </w:pPr>
    </w:p>
    <w:p w14:paraId="188D1E6A">
      <w:pPr>
        <w:jc w:val="center"/>
        <w:rPr>
          <w:rFonts w:hint="eastAsia" w:ascii="黑体" w:hAnsi="黑体" w:eastAsia="仿宋" w:cs="仿宋"/>
          <w:b/>
          <w:bCs/>
          <w:sz w:val="30"/>
          <w:szCs w:val="30"/>
          <w:lang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Times New Roman" w:hAnsi="仿宋" w:eastAsia="仿宋" w:cs="仿宋"/>
          <w:b/>
          <w:kern w:val="2"/>
          <w:sz w:val="30"/>
          <w:szCs w:val="30"/>
          <w:lang w:val="en-US" w:eastAsia="zh-CN" w:bidi="ar-SA"/>
        </w:rPr>
        <w:t>Henan Otywell Electronic Technology Co., Ltd.</w:t>
      </w:r>
      <w:r>
        <w:rPr>
          <w:rFonts w:hint="default" w:ascii="Times New Roman" w:hAnsi="仿宋" w:eastAsia="仿宋" w:cs="仿宋"/>
          <w:b/>
          <w:kern w:val="2"/>
          <w:sz w:val="30"/>
          <w:szCs w:val="30"/>
          <w:lang w:val="en-US" w:eastAsia="zh-CN" w:bidi="ar-SA"/>
        </w:rPr>
        <w:t/>
      </w:r>
      <w:r>
        <w:rPr>
          <w:rFonts w:hint="eastAsia" w:ascii="Times New Roman" w:hAnsi="仿宋" w:eastAsia="仿宋" w:cs="仿宋"/>
          <w:b/>
          <w:kern w:val="2"/>
          <w:sz w:val="30"/>
          <w:szCs w:val="30"/>
          <w:lang w:val="en-US" w:eastAsia="zh-CN" w:bidi="ar-SA"/>
        </w:rPr>
        <w:t/>
      </w:r>
    </w:p>
    <w:p w14:paraId="4AFF8A61">
      <w:pPr>
        <w:jc w:val="center"/>
        <w:rPr>
          <w:rFonts w:hint="eastAsia" w:ascii="黑体" w:hAnsi="黑体" w:eastAsia="黑体" w:cs="仿宋"/>
          <w:b/>
          <w:bCs/>
          <w:sz w:val="32"/>
          <w:szCs w:val="32"/>
          <w:lang w:eastAsia="zh-CN"/>
        </w:rPr>
      </w:pPr>
      <w:r>
        <w:rPr>
          <w:rFonts w:hint="eastAsia" w:ascii="Times New Roman" w:hAnsi="黑体" w:eastAsia="黑体" w:cs="仿宋"/>
          <w:b/>
          <w:bCs/>
          <w:kern w:val="2"/>
          <w:sz w:val="32"/>
          <w:szCs w:val="32"/>
          <w:lang w:val="en-US" w:eastAsia="zh-CN" w:bidi="ar-SA"/>
        </w:rPr>
        <w:t>каталог</w:t>
      </w:r>
    </w:p>
    <w:p w14:paraId="74D888F8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 w14:paraId="5003AA7C">
      <w:pPr>
        <w:pStyle w:val="10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ascii="黑体" w:hAnsi="黑体" w:eastAsia="黑体" w:cs="仿宋"/>
          <w:szCs w:val="21"/>
        </w:rPr>
        <w:fldChar w:fldCharType="begin"/>
      </w:r>
      <w:r>
        <w:rPr>
          <w:rFonts w:hint="eastAsia" w:ascii="黑体" w:hAnsi="黑体" w:eastAsia="黑体" w:cs="仿宋"/>
          <w:szCs w:val="21"/>
        </w:rPr>
        <w:instrText xml:space="preserve">TOC \o "1-3" \h \z \u</w:instrText>
      </w:r>
      <w:r>
        <w:rPr>
          <w:rFonts w:ascii="黑体" w:hAnsi="黑体" w:eastAsia="黑体" w:cs="仿宋"/>
          <w:szCs w:val="21"/>
        </w:rPr>
        <w:fldChar w:fldCharType="separate"/>
      </w: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"_Toc97643635"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I. Обязательно к прочтению перед использованием 24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5E627801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"_Toc97643636"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1.1 Указания для пользователя 24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23BD4089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"_Toc97643637"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1.2 Положения о гарантии качества и освобождении от ответственности 24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6BD38B15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"_Toc97643638"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1.3 Меры безопасности 35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29CABB59">
      <w:pPr>
        <w:pStyle w:val="5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"_Toc97643639"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1.3.1 Меры безопасности при эксплуатации приборов 35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3FA7BF9A">
      <w:pPr>
        <w:pStyle w:val="5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"_Toc97643640"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1.3.2 Прочие меры безопасности 35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0DBFE8EB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"_Toc97643641"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1.4 Избегайте использования неисправных 35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2BD40B22">
      <w:pPr>
        <w:pStyle w:val="5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"_Toc97643642"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1.4.1 При использовании приборов в неблагоприятных погодных условиях необходимо соблюдать следующие меры предосторожности: 35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50D8BA5A">
      <w:pPr>
        <w:pStyle w:val="10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"_Toc97643643"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II. Описание составных частей 46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3BFFA7BF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"_Toc97643644"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2.1 Обзор изделия 46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36BB1BA2">
      <w:pPr>
        <w:pStyle w:val="5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"_Toc97643645"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2.1.1 Принцип обнаружения 46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6BFFCDC5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"_Toc97643646"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2.2 Вид спереди 46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1DF76B6A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"_Toc97643647"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2.3 Взрывозащищённая коробка 57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0B7D1194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"_Toc97643648"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2.4 Габариты поворотного устройства и размеры монтажного пространства 57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458E4E8B">
      <w:pPr>
        <w:pStyle w:val="10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"_Toc97643649"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III. Порядок выполнения монтажа 68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0D2BBACA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"_Toc97643650"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3.1 Порядок выполнения монтажа 68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71C759E9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"_Toc97643651"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3.2 Проверка оборудования 68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5B2B6BE3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"_Toc97643652"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3.3 Эксплуатация оборудования 68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31B13638">
      <w:pPr>
        <w:pStyle w:val="5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"_Toc97643653"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3.3.1 Основные операции 68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4C8BDC82">
      <w:pPr>
        <w:pStyle w:val="10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"_Toc97643654"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IV. Работа с программным обеспечением 79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2DC1410E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"_Toc97643655"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4.1 Запуск программы 79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4644BA44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"_Toc97643656"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4.2 Вход пользователя 79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7810356C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"_Toc97643657"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4.3 Подключение видеосигнала 79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1F9DAF38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"_Toc97643658"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4.4. Подключение сигналов зондирования 810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0ECE4C5E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"_Toc97643659"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4.5. Запуск задачи зондирования 911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20C14E62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"_Toc97643660"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4.6 Остановка задачи зондирования 1012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57FB8C27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"_Toc97643661"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4.7 Настройка точек сигнализации 1012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39ABACBA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"_Toc97643662"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4.8. Настройка точек позиционирования сканирования 1214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19EF9AED">
      <w:pPr>
        <w:pStyle w:val="5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"_Toc97643663"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4.8.1 Ручная регулировка точек позиционирования 1214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2C75BA18">
      <w:pPr>
        <w:pStyle w:val="5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"_Toc97643664"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4.8.2 Сохранение точки позиционирования 1214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7A7B888F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"_Toc97643665"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4.9 Настройка маршрута обхода 1315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4AF4B8B0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"_Toc97643666"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4.10 Запуск обхода 1315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14C98EFA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"_Toc97643667"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4.11 Просмотр истории 1315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1331F9AB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"_Toc97643668"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4.12 Информация о датчике зондирования 1416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17202EE1">
      <w:pPr>
        <w:pStyle w:val="10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"_Toc97643669"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V. Факторы, влияющие на точность 1517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20369434">
      <w:pPr>
        <w:pStyle w:val="10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"_Toc97643670"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VI. Устранение типовых неисправностей 1517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15117662">
      <w:pPr>
        <w:pStyle w:val="10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"_Toc97643671"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VII. Приложение 1517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29050D5E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"_Toc97643672"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7.1 Ежедневное техническое обслуживание и уход 1517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450C406F">
      <w:pPr>
        <w:pStyle w:val="11"/>
        <w:tabs>
          <w:tab w:val="right" w:leader="dot" w:pos="8296"/>
        </w:tabs>
        <w:rPr>
          <w:rFonts w:hint="eastAsia" w:eastAsia="宋体" w:asciiTheme="minorHAnsi" w:hAnsiTheme="minorHAnsi" w:cstheme="minorBidi"/>
          <w:lang w:eastAsia="zh-CN"/>
        </w:rPr>
      </w:pPr>
      <w:r>
        <w:rPr>
          <w:rFonts w:hint="eastAsia" w:ascii="Times New Roman"/>
          <w:lang w:eastAsia="zh-CN"/>
        </w:rPr>
        <w:fldChar w:fldCharType="begin"/>
      </w:r>
      <w:r>
        <w:rPr>
          <w:rFonts w:hint="eastAsia" w:ascii="Times New Roman"/>
          <w:lang w:eastAsia="zh-CN"/>
        </w:rPr>
        <w:instrText xml:space="preserve"> HYPERLINK \l "_Toc97643673" </w:instrText>
      </w:r>
      <w:r>
        <w:rPr>
          <w:rFonts w:hint="eastAsia" w:ascii="Times New Roman"/>
          <w:lang w:eastAsia="zh-CN"/>
        </w:rPr>
        <w:fldChar w:fldCharType="separate"/>
      </w:r>
      <w:r>
        <w:rPr>
          <w:rStyle w:val="16"/>
          <w:rFonts w:hint="eastAsia" w:ascii="Times New Roman"/>
          <w:lang w:eastAsia="zh-CN"/>
        </w:rPr>
        <w:t>7.2 Технические характеристики 1618</w:t>
      </w:r>
      <w:r>
        <w:rPr>
          <w:rStyle w:val="16"/>
          <w:rFonts w:hint="eastAsia" w:ascii="Times New Roman"/>
          <w:lang w:eastAsia="zh-CN"/>
        </w:rPr>
        <w:tab/>
      </w:r>
      <w:r>
        <w:rPr>
          <w:rStyle w:val="16"/>
          <w:rFonts w:hint="eastAsia" w:ascii="Times New Roman"/>
          <w:lang w:eastAsia="zh-CN"/>
        </w:rPr>
        <w:t/>
      </w:r>
      <w:r>
        <w:rPr>
          <w:rFonts w:hint="eastAsia" w:ascii="Times New Roman"/>
          <w:lang w:eastAsia="zh-CN"/>
        </w:rPr>
        <w:fldChar w:fldCharType="end"/>
      </w:r>
    </w:p>
    <w:p w14:paraId="7BFC50B5">
      <w:pPr>
        <w:pStyle w:val="11"/>
        <w:tabs>
          <w:tab w:val="right" w:leader="dot" w:pos="7134"/>
        </w:tabs>
        <w:spacing w:line="360" w:lineRule="auto"/>
        <w:ind w:left="0" w:leftChars="0"/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ascii="黑体" w:hAnsi="黑体" w:eastAsia="黑体" w:cs="仿宋"/>
          <w:szCs w:val="21"/>
        </w:rPr>
        <w:fldChar w:fldCharType="end"/>
      </w:r>
    </w:p>
    <w:p w14:paraId="39A3AC35">
      <w:pPr>
        <w:pStyle w:val="2"/>
        <w:rPr>
          <w:rFonts w:hint="eastAsia" w:eastAsia="黑体"/>
          <w:lang w:eastAsia="zh-CN"/>
        </w:rPr>
      </w:pPr>
      <w:bookmarkStart w:id="0" w:name="_Toc97643635"/>
      <w:bookmarkStart w:id="1" w:name="_Toc462756349"/>
      <w:r>
        <w:rPr>
          <w:rFonts w:hint="eastAsia" w:ascii="Times New Roman" w:hAnsi="Calibri" w:eastAsia="黑体" w:cs="Times New Roman"/>
          <w:b/>
          <w:bCs/>
          <w:kern w:val="44"/>
          <w:sz w:val="32"/>
          <w:szCs w:val="44"/>
          <w:lang w:val="en-US" w:eastAsia="zh-CN" w:bidi="ar-SA"/>
        </w:rPr>
        <w:t>I. Обязательно к прочтению перед использованием</w:t>
      </w:r>
      <w:bookmarkEnd w:id="0"/>
      <w:bookmarkEnd w:id="1"/>
    </w:p>
    <w:p w14:paraId="2308CF56">
      <w:pPr>
        <w:pStyle w:val="21"/>
        <w:ind w:left="420" w:firstLine="0" w:firstLineChars="0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rFonts w:hint="eastAsia" w:ascii="Times New Roman" w:hAnsiTheme="minorEastAsia" w:eastAsiaTheme="minorEastAsia" w:cstheme="minorBidi"/>
          <w:kern w:val="2"/>
          <w:sz w:val="21"/>
          <w:szCs w:val="21"/>
          <w:lang w:val="en-US" w:eastAsia="zh-CN" w:bidi="ar-SA"/>
        </w:rPr>
        <w:t>Данный прибор прошёл калибровку перед выпуском с завода.</w:t>
      </w:r>
    </w:p>
    <w:p w14:paraId="5AEEEA56">
      <w:pPr>
        <w:pStyle w:val="3"/>
        <w:rPr>
          <w:rFonts w:hint="eastAsia" w:eastAsia="黑体"/>
          <w:szCs w:val="28"/>
          <w:lang w:eastAsia="zh-CN"/>
        </w:rPr>
      </w:pPr>
      <w:bookmarkStart w:id="2" w:name="_Toc462756350"/>
      <w:bookmarkStart w:id="3" w:name="_Toc97643636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28"/>
          <w:lang w:val="en-US" w:eastAsia="zh-CN" w:bidi="ar-SA"/>
        </w:rPr>
        <w:t>1.1 Уведомление для пользователя</w:t>
      </w:r>
      <w:bookmarkEnd w:id="2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28"/>
          <w:lang w:val="en-US" w:eastAsia="zh-CN" w:bidi="ar-SA"/>
        </w:rPr>
        <w:t xml:space="preserve"/>
      </w:r>
      <w:bookmarkEnd w:id="3"/>
    </w:p>
    <w:p w14:paraId="77BD073D">
      <w:pPr>
        <w:ind w:firstLine="420" w:firstLineChars="200"/>
        <w:rPr>
          <w:rFonts w:hint="eastAsia" w:ascii="仿宋" w:hAnsi="仿宋" w:eastAsia="仿宋" w:cs="宋体"/>
          <w:szCs w:val="21"/>
          <w:lang w:eastAsia="zh-CN"/>
        </w:rPr>
      </w:pPr>
      <w:r>
        <w:rPr>
          <w:rFonts w:hint="eastAsia" w:ascii="Times New Roman" w:hAnsi="仿宋" w:eastAsia="仿宋" w:cs="宋体"/>
          <w:kern w:val="2"/>
          <w:sz w:val="21"/>
          <w:szCs w:val="21"/>
          <w:lang w:val="en-US" w:eastAsia="zh-CN" w:bidi="ar-SA"/>
        </w:rPr>
        <w:t>Добро пожаловать в стационарный лазерный газовый прибор зондирования XT-G6000C (далее — прибор зондирования). Перед использованием данного изделия внимательно прочитайте настоящее руководство. Оно содержит важную эксплуатационную информацию и технические характеристики, которые пользователь должен строго соблюдать для обеспечения правильной работы устройства. Приведённые указания также помогут пользователю правильно эксплуатировать изделие и получать точные результаты анализа.</w:t>
      </w:r>
    </w:p>
    <w:p w14:paraId="2CB58AB3">
      <w:pPr>
        <w:ind w:firstLine="420" w:firstLineChars="200"/>
        <w:rPr>
          <w:rFonts w:hint="eastAsia" w:ascii="仿宋" w:hAnsi="仿宋" w:eastAsia="仿宋" w:cs="宋体"/>
          <w:szCs w:val="21"/>
          <w:lang w:eastAsia="zh-CN"/>
        </w:rPr>
      </w:pPr>
      <w:r>
        <w:rPr>
          <w:rFonts w:hint="eastAsia" w:ascii="Times New Roman" w:hAnsi="仿宋" w:eastAsia="仿宋" w:cs="宋体"/>
          <w:kern w:val="2"/>
          <w:sz w:val="21"/>
          <w:szCs w:val="21"/>
          <w:lang w:val="en-US" w:eastAsia="zh-CN" w:bidi="ar-SA"/>
        </w:rPr>
        <w:t>Настоящее руководство содержит исчерпывающие указания по правильному использованию приборов зондирования и служит точным справочным материалом для технически подготовленного персонала или лиц, обладающих соответствующими знаниями в области эксплуатации и управления приборами. Перед эксплуатацией приборов необходимо полностью изучить правила техники безопасности и предупреждения, изложенные в настоящем руководстве, и применять их на практике. В силу различных ограничений невозможно привести подробное описание всех аспектов. Если пользователю требуется дополнительная информация или помощь по вопросам, не освещённым в настоящем руководстве, обратитесь в нашу службу послепродажной поддержки по телефону горячей линии 400-811-8873.</w:t>
      </w:r>
    </w:p>
    <w:p w14:paraId="73CCD3EE">
      <w:pPr>
        <w:pStyle w:val="3"/>
        <w:rPr>
          <w:rFonts w:hint="eastAsia" w:eastAsia="黑体"/>
          <w:szCs w:val="28"/>
          <w:lang w:eastAsia="zh-CN"/>
        </w:rPr>
      </w:pPr>
      <w:bookmarkStart w:id="4" w:name="_Toc97643637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28"/>
          <w:lang w:val="en-US" w:eastAsia="zh-CN" w:bidi="ar-SA"/>
        </w:rPr>
        <w:t>1.2 Гарантия качества и условия освобождения от ответственности</w:t>
      </w:r>
      <w:bookmarkEnd w:id="4"/>
    </w:p>
    <w:p w14:paraId="74184175">
      <w:pPr>
        <w:ind w:firstLine="420"/>
        <w:rPr>
          <w:rFonts w:hint="eastAsia" w:ascii="仿宋" w:hAnsi="仿宋" w:eastAsia="仿宋" w:cs="宋体"/>
          <w:szCs w:val="21"/>
          <w:lang w:eastAsia="zh-CN"/>
        </w:rPr>
      </w:pPr>
      <w:r>
        <w:rPr>
          <w:rFonts w:hint="eastAsia" w:ascii="Times New Roman" w:hAnsi="仿宋" w:eastAsia="仿宋" w:cs="宋体"/>
          <w:kern w:val="2"/>
          <w:sz w:val="21"/>
          <w:szCs w:val="21"/>
          <w:lang w:val="en-US" w:eastAsia="zh-CN" w:bidi="ar-SA"/>
        </w:rPr>
        <w:t>Выбирая Outeiwell Technology, вы выбираете высококачественную продукцию. Все изделия нашей компании подлежат бесплатному ремонту в течение гарантийного срока; после окончания гарантийного срока взимается соответствующая плата за замену компонентов. При возникновении любых проблем в процессе эксплуатации обращайтесь к нам для оперативной помощи. На весь прибор распространяется гарантия сроком один год.</w:t>
      </w:r>
    </w:p>
    <w:p w14:paraId="4154DEC3">
      <w:pPr>
        <w:jc w:val="left"/>
        <w:rPr>
          <w:rFonts w:hint="eastAsia" w:ascii="仿宋" w:hAnsi="仿宋" w:eastAsia="仿宋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2"/>
          <w:lang w:val="en-US" w:eastAsia="zh-CN" w:bidi="ar-SA"/>
        </w:rPr>
        <w:t>Любой ремонт после окончания гарантийного срока, а также ремонт в течение гарантийного срока при наличии указанных ниже неисправностей считается послегарантийным ремонтом, на который бесплатное гарантийное обслуживание не распространяется. Outeiwell Technology оставляет за собой право взимать плату за выездное техническое обслуживание. К таким неисправностям относятся, среди прочего:</w:t>
      </w:r>
    </w:p>
    <w:p w14:paraId="6080FCC2">
      <w:pPr>
        <w:jc w:val="left"/>
        <w:rPr>
          <w:rFonts w:hint="eastAsia" w:ascii="仿宋" w:hAnsi="仿宋" w:eastAsia="仿宋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2"/>
          <w:lang w:val="en-US" w:eastAsia="zh-CN" w:bidi="ar-SA"/>
        </w:rPr>
        <w:t>1) вследствие ненадлежащей эксплуатации (попадание воды внутрь, коррозия, пожар или электрические помехи от высоковольтных цепей);</w:t>
      </w:r>
    </w:p>
    <w:p w14:paraId="5A9B4E89">
      <w:pPr>
        <w:jc w:val="left"/>
        <w:rPr>
          <w:rFonts w:hint="eastAsia" w:ascii="仿宋" w:hAnsi="仿宋" w:eastAsia="仿宋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2"/>
          <w:lang w:val="en-US" w:eastAsia="zh-CN" w:bidi="ar-SA"/>
        </w:rPr>
        <w:t>2) обстоятельства непреодолимой силы (повреждения, вызванные землетрясениями, ударами молнии, наводнениями и т. п.);</w:t>
      </w:r>
    </w:p>
    <w:p w14:paraId="552EB2AE">
      <w:pPr>
        <w:jc w:val="left"/>
        <w:rPr>
          <w:rFonts w:hint="eastAsia" w:ascii="仿宋" w:hAnsi="仿宋" w:eastAsia="仿宋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2"/>
          <w:lang w:val="en-US" w:eastAsia="zh-CN" w:bidi="ar-SA"/>
        </w:rPr>
        <w:t>3) несанкционированная модификация внутренних узлов изделия без разрешения;</w:t>
      </w:r>
    </w:p>
    <w:p w14:paraId="7235B43F">
      <w:pPr>
        <w:jc w:val="left"/>
        <w:rPr>
          <w:rFonts w:hint="eastAsia" w:ascii="仿宋" w:hAnsi="仿宋" w:eastAsia="仿宋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2"/>
          <w:lang w:val="en-US" w:eastAsia="zh-CN" w:bidi="ar-SA"/>
        </w:rPr>
        <w:t>4) несоблюдение руководства пользователя и правил обучения при эксплуатации изделия, приведшее к его повреждению;</w:t>
      </w:r>
    </w:p>
    <w:p w14:paraId="3055F0F0">
      <w:pPr>
        <w:rPr>
          <w:rFonts w:hint="eastAsia" w:ascii="仿宋" w:hAnsi="仿宋" w:eastAsia="仿宋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2"/>
          <w:lang w:val="en-US" w:eastAsia="zh-CN" w:bidi="ar-SA"/>
        </w:rPr>
        <w:t>Настоящее руководство распространяется только на приборы и компоненты, проданные покупателям поставщиками, дистрибьюторами и представителями, уполномоченными Oteville Technologies.</w:t>
      </w:r>
    </w:p>
    <w:p w14:paraId="7CA614F9">
      <w:pPr>
        <w:widowControl/>
        <w:jc w:val="left"/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p w14:paraId="1DB46104">
      <w:pPr>
        <w:pStyle w:val="3"/>
        <w:rPr>
          <w:rFonts w:hint="eastAsia" w:eastAsia="黑体"/>
          <w:szCs w:val="28"/>
          <w:lang w:eastAsia="zh-CN"/>
        </w:rPr>
      </w:pPr>
      <w:bookmarkStart w:id="5" w:name="_Toc462756351"/>
      <w:bookmarkStart w:id="6" w:name="_Toc97643638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28"/>
          <w:lang w:val="en-US" w:eastAsia="zh-CN" w:bidi="ar-SA"/>
        </w:rPr>
        <w:t>1.3 Меры безопасности</w:t>
      </w:r>
      <w:bookmarkEnd w:id="5"/>
      <w:bookmarkEnd w:id="6"/>
    </w:p>
    <w:p w14:paraId="061FE879">
      <w:pPr>
        <w:ind w:firstLine="420" w:firstLineChars="200"/>
        <w:rPr>
          <w:rFonts w:hint="eastAsia" w:ascii="仿宋" w:hAnsi="仿宋" w:eastAsia="仿宋" w:cs="仿宋"/>
          <w:szCs w:val="21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1"/>
          <w:lang w:val="en-US" w:eastAsia="zh-CN" w:bidi="ar-SA"/>
        </w:rPr>
        <w:t>Перед использованием данного прибора убедитесь, что вы прочитали и поняли изложенные ниже меры безопасности.</w:t>
      </w:r>
    </w:p>
    <w:p w14:paraId="37586C12">
      <w:pPr>
        <w:pStyle w:val="4"/>
        <w:rPr>
          <w:rFonts w:hint="eastAsia" w:eastAsia="黑体"/>
          <w:szCs w:val="21"/>
          <w:lang w:eastAsia="zh-CN"/>
        </w:rPr>
      </w:pPr>
      <w:bookmarkStart w:id="7" w:name="_Toc97643639"/>
      <w:bookmarkStart w:id="8" w:name="_Toc462756352"/>
      <w:r>
        <w:rPr>
          <w:rFonts w:hint="eastAsia" w:ascii="Times New Roman" w:hAnsi="Calibri" w:eastAsia="黑体" w:cs="Times New Roman"/>
          <w:b/>
          <w:bCs/>
          <w:kern w:val="2"/>
          <w:sz w:val="21"/>
          <w:szCs w:val="21"/>
          <w:lang w:val="en-US" w:eastAsia="zh-CN" w:bidi="ar-SA"/>
        </w:rPr>
        <w:t>1.3.1 Меры безопасности при эксплуатации приборов</w:t>
      </w:r>
      <w:bookmarkEnd w:id="7"/>
      <w:bookmarkEnd w:id="8"/>
    </w:p>
    <w:p w14:paraId="3DC561F9">
      <w:pPr>
        <w:rPr>
          <w:rFonts w:eastAsia="黑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99695</wp:posOffset>
                </wp:positionV>
                <wp:extent cx="5042535" cy="1432560"/>
                <wp:effectExtent l="6350" t="6350" r="31115" b="8890"/>
                <wp:wrapNone/>
                <wp:docPr id="2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2535" cy="14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E8398E4">
                            <w:pPr>
                              <w:ind w:firstLine="422" w:firstLineChars="200"/>
                              <w:rPr>
                                <w:rFonts w:ascii="仿宋" w:hAnsi="仿宋" w:eastAsia="仿宋" w:cs="仿宋"/>
                                <w:b/>
                                <w:color w:val="FF0000"/>
                              </w:rPr>
                            </w:pPr>
                          </w:p>
                          <w:p w14:paraId="74F9EC81">
                            <w:pPr>
                              <w:ind w:firstLine="422" w:firstLineChars="200"/>
                              <w:rPr>
                                <w:rFonts w:hint="eastAsia" w:ascii="仿宋" w:hAnsi="仿宋" w:eastAsia="仿宋" w:cs="仿宋"/>
                                <w:b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Times New Roman" w:hAnsi="仿宋" w:eastAsia="仿宋" w:cs="仿宋"/>
                                <w:b/>
                                <w:color w:val="FF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w:t>Внимание ：</w:t>
                            </w:r>
                          </w:p>
                          <w:p w14:paraId="633942D5">
                            <w:pPr>
                              <w:ind w:left="420"/>
                              <w:rPr>
                                <w:rFonts w:hint="eastAsia" w:ascii="仿宋" w:hAnsi="仿宋" w:eastAsia="仿宋" w:cs="仿宋"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Times New Roman" w:hAnsi="仿宋" w:eastAsia="仿宋" w:cs="仿宋"/>
                                <w:color w:val="FF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w:t>1. Прибор необходимо защищать от излучения высокотемпературных источников тепла, так как чрезмерно высокая или низкая температура может отрицательно повлиять на его рабочие характеристики и срок службы.</w:t>
                            </w:r>
                          </w:p>
                          <w:p w14:paraId="4019DE1D">
                            <w:pPr>
                              <w:ind w:left="420"/>
                              <w:rPr>
                                <w:rFonts w:hint="eastAsia" w:ascii="仿宋" w:hAnsi="仿宋" w:eastAsia="仿宋" w:cs="仿宋"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Times New Roman" w:hAnsi="仿宋" w:eastAsia="仿宋" w:cs="仿宋"/>
                                <w:color w:val="FF0000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w:t>2. Не допускайте продолжительного взгляда на лазерный излучатель во избежание ожога глаз.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20.15pt;margin-top:7.85pt;height:112.8pt;width:397.05pt;z-index:251661312;mso-width-relative:page;mso-height-relative:page;" fillcolor="#FFFFFF" filled="t" stroked="t" coordsize="21600,21600" o:gfxdata="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HcgQgtkAAAAJAQAADwAA&#10;AAAAAAABACAAAAAiAAAAZHJzL2Rvd25yZXYueG1sUEsBAhQAFAAAAAgAh07iQL0CcAsVAgAARw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E8398E4">
                      <w:pPr>
                        <w:ind w:firstLine="422" w:firstLineChars="200"/>
                        <w:rPr>
                          <w:rFonts w:ascii="仿宋" w:hAnsi="仿宋" w:eastAsia="仿宋" w:cs="仿宋"/>
                          <w:b/>
                          <w:color w:val="FF0000"/>
                        </w:rPr>
                      </w:pPr>
                    </w:p>
                    <w:p w14:paraId="74F9EC81">
                      <w:pPr>
                        <w:ind w:firstLine="422" w:firstLineChars="200"/>
                        <w:rPr>
                          <w:rFonts w:hint="eastAsia" w:ascii="仿宋" w:hAnsi="仿宋" w:eastAsia="仿宋" w:cs="仿宋"/>
                          <w:b/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 w:ascii="Times New Roman" w:hAnsi="仿宋" w:eastAsia="仿宋" w:cs="仿宋"/>
                          <w:b/>
                          <w:color w:val="FF0000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  <w:t>Внимание ：</w:t>
                      </w:r>
                    </w:p>
                    <w:p w14:paraId="633942D5">
                      <w:pPr>
                        <w:ind w:left="420"/>
                        <w:rPr>
                          <w:rFonts w:hint="eastAsia" w:ascii="仿宋" w:hAnsi="仿宋" w:eastAsia="仿宋" w:cs="仿宋"/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 w:ascii="Times New Roman" w:hAnsi="仿宋" w:eastAsia="仿宋" w:cs="仿宋"/>
                          <w:color w:val="FF0000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  <w:t>1. Прибор необходимо защищать от излучения высокотемпературных источников тепла, так как чрезмерно высокая или низкая температура может отрицательно повлиять на его рабочие характеристики и срок службы.</w:t>
                      </w:r>
                    </w:p>
                    <w:p w14:paraId="4019DE1D">
                      <w:pPr>
                        <w:ind w:left="420"/>
                        <w:rPr>
                          <w:rFonts w:hint="eastAsia" w:ascii="仿宋" w:hAnsi="仿宋" w:eastAsia="仿宋" w:cs="仿宋"/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 w:ascii="Times New Roman" w:hAnsi="仿宋" w:eastAsia="仿宋" w:cs="仿宋"/>
                          <w:color w:val="FF0000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  <w:t>2. Не допускайте продолжительного взгляда на лазерный излучатель во избежание ожога глаз.</w:t>
                      </w:r>
                    </w:p>
                  </w:txbxContent>
                </v:textbox>
              </v:shape>
            </w:pict>
          </mc:Fallback>
        </mc:AlternateContent>
      </w:r>
    </w:p>
    <w:p w14:paraId="43ED2707">
      <w:pPr>
        <w:ind w:firstLine="422" w:firstLineChars="200"/>
        <w:rPr>
          <w:rFonts w:hint="eastAsia" w:ascii="仿宋" w:hAnsi="仿宋" w:eastAsia="仿宋" w:cs="仿宋"/>
          <w:b/>
          <w:color w:val="FF0000"/>
          <w:lang w:eastAsia="zh-CN"/>
        </w:rPr>
      </w:pPr>
      <w:r>
        <w:rPr>
          <w:rFonts w:hint="eastAsia" w:ascii="Times New Roman" w:hAnsi="仿宋" w:eastAsia="仿宋" w:cs="仿宋"/>
          <w:b/>
          <w:color w:val="FF0000"/>
          <w:kern w:val="2"/>
          <w:sz w:val="21"/>
          <w:szCs w:val="22"/>
          <w:lang w:val="en-US" w:eastAsia="zh-CN" w:bidi="ar-SA"/>
        </w:rPr>
        <w:t>Внимание ：</w:t>
      </w:r>
    </w:p>
    <w:p w14:paraId="28BD734E">
      <w:pPr>
        <w:ind w:left="420"/>
        <w:rPr>
          <w:rFonts w:hint="eastAsia" w:ascii="仿宋" w:hAnsi="仿宋" w:eastAsia="仿宋" w:cs="仿宋"/>
          <w:color w:val="FF0000"/>
          <w:lang w:eastAsia="zh-CN"/>
        </w:rPr>
      </w:pPr>
      <w:r>
        <w:rPr>
          <w:rFonts w:hint="eastAsia" w:ascii="Times New Roman" w:hAnsi="仿宋" w:eastAsia="仿宋" w:cs="仿宋"/>
          <w:color w:val="FF0000"/>
          <w:kern w:val="2"/>
          <w:sz w:val="21"/>
          <w:szCs w:val="22"/>
          <w:lang w:val="en-US" w:eastAsia="zh-CN" w:bidi="ar-SA"/>
        </w:rPr>
        <w:t>1. Прибор необходимо защищать от излучения высокотемпературных источников тепла, так как чрезмерно высокая или низкая температура может отрицательно повлиять на рабочие характеристики и срок службы преобразователя. 1. Прибор необходимо защищать от излучения высокотемпературных источников тепла, так как чрезмерно высокая или низкая температура может отрицательно повлиять на рабочие характеристики и срок службы преобразователя.</w:t>
      </w:r>
    </w:p>
    <w:p w14:paraId="6C5C6275">
      <w:pPr>
        <w:ind w:left="420"/>
        <w:rPr>
          <w:rFonts w:hint="eastAsia" w:ascii="仿宋" w:hAnsi="仿宋" w:eastAsia="仿宋" w:cs="仿宋"/>
          <w:color w:val="FF0000"/>
          <w:lang w:eastAsia="zh-CN"/>
        </w:rPr>
      </w:pPr>
      <w:r>
        <w:rPr>
          <w:rFonts w:hint="eastAsia" w:ascii="Times New Roman" w:hAnsi="仿宋" w:eastAsia="仿宋" w:cs="仿宋"/>
          <w:color w:val="FF0000"/>
          <w:kern w:val="2"/>
          <w:sz w:val="21"/>
          <w:szCs w:val="22"/>
          <w:lang w:val="en-US" w:eastAsia="zh-CN" w:bidi="ar-SA"/>
        </w:rPr>
        <w:t>2. Не допускайте продолжительного взгляда на лазерный излучатель во избежание ожога глаз.</w:t>
      </w:r>
    </w:p>
    <w:p w14:paraId="45B8DBA4">
      <w:pPr>
        <w:ind w:firstLine="420" w:firstLineChars="200"/>
        <w:rPr>
          <w:rFonts w:hint="eastAsia" w:ascii="仿宋" w:hAnsi="仿宋" w:eastAsia="仿宋" w:cs="仿宋"/>
          <w:b/>
          <w:color w:val="FF0000"/>
          <w:lang w:eastAsia="zh-CN"/>
        </w:rPr>
      </w:pPr>
      <w:r>
        <w:rPr>
          <w:rFonts w:hint="eastAsia" w:ascii="Times New Roman" w:hAnsi="仿宋" w:eastAsia="仿宋" w:cs="仿宋"/>
          <w:color w:val="FF0000"/>
          <w:kern w:val="2"/>
          <w:sz w:val="21"/>
          <w:szCs w:val="22"/>
          <w:lang w:val="en-US" w:eastAsia="zh-CN" w:bidi="ar-SA"/>
        </w:rPr>
        <w:t>3. Прибор имеет металлический корпус. Не касайтесь его при включённом питании во избежание поражения электрическим током.</w:t>
      </w:r>
    </w:p>
    <w:p w14:paraId="3BFB0CFB">
      <w:pPr>
        <w:rPr>
          <w:rFonts w:ascii="黑体" w:hAnsi="黑体" w:eastAsia="黑体" w:cs="仿宋"/>
          <w:szCs w:val="21"/>
        </w:rPr>
      </w:pPr>
    </w:p>
    <w:p w14:paraId="2B354F3C">
      <w:pPr>
        <w:pStyle w:val="4"/>
        <w:rPr>
          <w:rFonts w:hint="eastAsia" w:eastAsia="黑体"/>
          <w:szCs w:val="21"/>
          <w:lang w:eastAsia="zh-CN"/>
        </w:rPr>
      </w:pPr>
      <w:bookmarkStart w:id="9" w:name="_Toc462756353"/>
      <w:bookmarkStart w:id="10" w:name="_Toc97643640"/>
      <w:r>
        <w:rPr>
          <w:rFonts w:hint="eastAsia" w:ascii="Times New Roman" w:hAnsi="Calibri" w:eastAsia="黑体" w:cs="Times New Roman"/>
          <w:b/>
          <w:bCs/>
          <w:kern w:val="2"/>
          <w:sz w:val="21"/>
          <w:szCs w:val="21"/>
          <w:lang w:val="en-US" w:eastAsia="zh-CN" w:bidi="ar-SA"/>
        </w:rPr>
        <w:t>1.3.2 Прочие меры безопасности</w:t>
      </w:r>
      <w:bookmarkEnd w:id="9"/>
      <w:bookmarkEnd w:id="10"/>
    </w:p>
    <w:p w14:paraId="6D8D59F8">
      <w:pPr>
        <w:ind w:firstLine="420" w:firstLineChars="200"/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>1) Данный прибор относится к прецизионному оборудованию. Не пытайтесь разбирать, модифицировать или изменять устройство. Если прибор не работает нормально или обнаруживаются неисправности, свяжитесь с нами.</w:t>
      </w:r>
    </w:p>
    <w:p w14:paraId="0557367D">
      <w:pPr>
        <w:ind w:firstLine="420" w:firstLineChars="200"/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>2) При случайном повреждении прибора немедленно прекратите эксплуатацию, отключите устройство, убедившись в безопасности окружающей обстановки, отсоедините электропитание и свяжитесь с нами.</w:t>
      </w:r>
    </w:p>
    <w:p w14:paraId="5C31246F">
      <w:pPr>
        <w:widowControl/>
        <w:ind w:firstLine="420" w:firstLineChars="200"/>
        <w:jc w:val="left"/>
        <w:rPr>
          <w:rFonts w:hint="eastAsia" w:ascii="仿宋" w:hAnsi="仿宋" w:eastAsia="仿宋" w:cs="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仿宋" w:eastAsia="仿宋" w:cs="仿宋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3) Способ вывода: при подключении выхода RS485 к безопасной зоне необходимо установить барьер безопасности для предотвращения подачи внешней энергии перед подключением к другим устройствам; однако при подключении к искробезопасному оборудованию это не требуется.</w:t>
      </w:r>
      <w:bookmarkStart w:id="11" w:name="_Toc462756354"/>
      <w:r>
        <w:rPr>
          <w:rFonts w:hint="eastAsia" w:ascii="Times New Roman" w:hAnsi="仿宋" w:eastAsia="仿宋" w:cs="仿宋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 xml:space="preserve"/>
      </w:r>
      <w:bookmarkEnd w:id="11"/>
      <w:r>
        <w:rPr>
          <w:rFonts w:hint="eastAsia" w:ascii="Times New Roman" w:hAnsi="仿宋" w:eastAsia="仿宋" w:cs="仿宋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/>
      </w:r>
    </w:p>
    <w:p w14:paraId="29E75877">
      <w:pPr>
        <w:pStyle w:val="3"/>
        <w:rPr>
          <w:rFonts w:hint="eastAsia" w:eastAsia="黑体"/>
          <w:lang w:eastAsia="zh-CN"/>
        </w:rPr>
      </w:pPr>
      <w:bookmarkStart w:id="12" w:name="_Toc97643641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1.4 Не используйте неисправные компоненты</w:t>
      </w:r>
      <w:bookmarkEnd w:id="12"/>
    </w:p>
    <w:p w14:paraId="70EB9AEA">
      <w:pPr>
        <w:ind w:firstLine="420" w:firstLineChars="200"/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>Чтобы свести к минимуму риск отказов, внимательно прочитайте следующее.</w:t>
      </w:r>
    </w:p>
    <w:p w14:paraId="40E6BB53">
      <w:pPr>
        <w:pStyle w:val="4"/>
        <w:rPr>
          <w:rFonts w:hint="eastAsia" w:eastAsia="黑体"/>
          <w:lang w:eastAsia="zh-CN"/>
        </w:rPr>
      </w:pPr>
      <w:bookmarkStart w:id="13" w:name="_Toc422909516"/>
      <w:bookmarkStart w:id="14" w:name="_Toc504650339"/>
      <w:bookmarkStart w:id="15" w:name="_Toc462756355"/>
      <w:bookmarkStart w:id="16" w:name="_Toc97643642"/>
      <w:r>
        <w:rPr>
          <w:rFonts w:hint="eastAsia" w:ascii="Times New Roman" w:hAnsi="Calibri" w:eastAsia="黑体" w:cs="Times New Roman"/>
          <w:b/>
          <w:bCs/>
          <w:kern w:val="2"/>
          <w:sz w:val="21"/>
          <w:szCs w:val="32"/>
          <w:lang w:val="en-US" w:eastAsia="zh-CN" w:bidi="ar-SA"/>
        </w:rPr>
        <w:t>1.4.1 При использовании приборов в неблагоприятных погодных условиях необходимо соблюдать следующие меры предосторожности</w:t>
      </w:r>
      <w:bookmarkEnd w:id="13"/>
      <w:r>
        <w:rPr>
          <w:rFonts w:hint="eastAsia" w:ascii="Times New Roman" w:hAnsi="Calibri" w:eastAsia="黑体" w:cs="Times New Roman"/>
          <w:b/>
          <w:bCs/>
          <w:kern w:val="2"/>
          <w:sz w:val="21"/>
          <w:szCs w:val="32"/>
          <w:lang w:val="en-US" w:eastAsia="zh-CN" w:bidi="ar-SA"/>
        </w:rPr>
        <w:t/>
      </w:r>
      <w:bookmarkEnd w:id="14"/>
      <w:bookmarkEnd w:id="15"/>
      <w:bookmarkEnd w:id="16"/>
    </w:p>
    <w:p w14:paraId="03C0F731">
      <w:pPr>
        <w:ind w:firstLine="420" w:firstLineChars="200"/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>Данный прибор сконструирован для предотвращения попадания внутрь вертикально падающих капель воды. В сырую погоду, например при дожде или снеге, а также в условиях смога с высокой концентрацией твёрдых частиц, необходимо учитывать следующие меры предосторожности и конкретные решения:</w:t>
      </w:r>
    </w:p>
    <w:p w14:paraId="250B05BF">
      <w:pPr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2"/>
          <w:lang w:val="en-US" w:eastAsia="zh-CN" w:bidi="ar-SA"/>
        </w:rPr>
        <w:t>На барабанных окнах (стеклянных линзах) приёмо-передающего устройства изделия в сырую погоду, например при дожде или снеге, могут скапливаться капли воды, что может нарушать приём сигнала и его интенсивность и тем самым влиять на нормальную работу. Скопившиеся капли воды следует осторожно удалять хлопчатобумажной тканью.</w:t>
      </w:r>
    </w:p>
    <w:p w14:paraId="7F976B18">
      <w:pPr>
        <w:rPr>
          <w:rFonts w:ascii="仿宋" w:hAnsi="仿宋" w:eastAsia="仿宋" w:cs="仿宋"/>
        </w:rPr>
      </w:pPr>
    </w:p>
    <w:p w14:paraId="62056023">
      <w:pPr>
        <w:ind w:firstLine="420" w:firstLineChars="200"/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>② В условиях высокой запылённости необходимо осторожно удалять пыль, оседающую на зеркальной поверхности приёмо-передающего устройства, влажной мягкой хлопчатобумажной тканью, чтобы не нарушать нормальную работу изделия.</w:t>
      </w:r>
    </w:p>
    <w:p w14:paraId="2C5F9C20">
      <w:pPr>
        <w:pStyle w:val="2"/>
        <w:rPr>
          <w:rFonts w:hint="eastAsia" w:eastAsia="黑体"/>
          <w:lang w:eastAsia="zh-CN"/>
        </w:rPr>
      </w:pPr>
      <w:bookmarkStart w:id="17" w:name="_Toc462756356"/>
      <w:bookmarkStart w:id="18" w:name="_Toc97643643"/>
      <w:r>
        <w:rPr>
          <w:rFonts w:hint="eastAsia" w:ascii="Times New Roman" w:hAnsi="Calibri" w:eastAsia="黑体" w:cs="Times New Roman"/>
          <w:b/>
          <w:bCs/>
          <w:kern w:val="44"/>
          <w:sz w:val="32"/>
          <w:szCs w:val="44"/>
          <w:lang w:val="en-US" w:eastAsia="zh-CN" w:bidi="ar-SA"/>
        </w:rPr>
        <w:t>II. Описание составных частей</w:t>
      </w:r>
      <w:bookmarkEnd w:id="17"/>
      <w:bookmarkEnd w:id="18"/>
    </w:p>
    <w:p w14:paraId="2DC132AC">
      <w:pPr>
        <w:pStyle w:val="3"/>
        <w:rPr>
          <w:rFonts w:hint="eastAsia" w:eastAsia="黑体"/>
          <w:szCs w:val="28"/>
          <w:lang w:eastAsia="zh-CN"/>
        </w:rPr>
      </w:pPr>
      <w:bookmarkStart w:id="19" w:name="_Toc462756357"/>
      <w:bookmarkStart w:id="20" w:name="_Toc97643644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28"/>
          <w:lang w:val="en-US" w:eastAsia="zh-CN" w:bidi="ar-SA"/>
        </w:rPr>
        <w:t>2.1 Обзор изделия</w:t>
      </w:r>
      <w:bookmarkEnd w:id="19"/>
      <w:bookmarkEnd w:id="20"/>
    </w:p>
    <w:p w14:paraId="43A4F1D7">
      <w:pPr>
        <w:pStyle w:val="12"/>
        <w:spacing w:before="0" w:beforeAutospacing="0" w:after="0" w:afterAutospacing="0"/>
        <w:ind w:firstLine="420" w:firstLineChars="200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Times New Roman" w:hAnsi="仿宋" w:eastAsia="仿宋" w:cs="仿宋"/>
          <w:kern w:val="0"/>
          <w:sz w:val="21"/>
          <w:szCs w:val="21"/>
          <w:lang w:val="en-US" w:eastAsia="zh-CN" w:bidi="ar-SA"/>
        </w:rPr>
        <w:t>Данное изделие состоит из основного блока и верхнего компьютера и, используя принцип лазерной абсорбционной спектроскопии, обеспечивает дистанционный онлайн-мониторинг концентрации метана в реальном времени в зоне обнаружения лазерного приёмо-передающего устройства. Это прибор, оснащённый функциями сбора, преобразования и передачи сигналов.</w:t>
      </w:r>
    </w:p>
    <w:p w14:paraId="020E9E6F">
      <w:pPr>
        <w:pStyle w:val="4"/>
        <w:rPr>
          <w:rFonts w:hint="eastAsia" w:eastAsia="黑体"/>
          <w:szCs w:val="21"/>
          <w:lang w:eastAsia="zh-CN"/>
        </w:rPr>
      </w:pPr>
      <w:bookmarkStart w:id="21" w:name="_Toc462756358"/>
      <w:bookmarkStart w:id="22" w:name="_Toc97643645"/>
      <w:r>
        <w:rPr>
          <w:rFonts w:hint="eastAsia" w:ascii="Times New Roman" w:hAnsi="Calibri" w:eastAsia="黑体" w:cs="Times New Roman"/>
          <w:b/>
          <w:bCs/>
          <w:kern w:val="2"/>
          <w:sz w:val="21"/>
          <w:szCs w:val="21"/>
          <w:lang w:val="en-US" w:eastAsia="zh-CN" w:bidi="ar-SA"/>
        </w:rPr>
        <w:t>2.1.1 Принцип обнаружения</w:t>
      </w:r>
      <w:bookmarkEnd w:id="21"/>
      <w:bookmarkEnd w:id="22"/>
    </w:p>
    <w:p w14:paraId="49408BA9">
      <w:pPr>
        <w:pStyle w:val="12"/>
        <w:spacing w:before="0" w:beforeAutospacing="0" w:after="0" w:afterAutospacing="0"/>
        <w:ind w:firstLine="420" w:firstLineChars="200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Times New Roman" w:hAnsi="仿宋" w:eastAsia="仿宋" w:cs="仿宋"/>
          <w:kern w:val="0"/>
          <w:sz w:val="21"/>
          <w:szCs w:val="21"/>
          <w:lang w:val="en-US" w:eastAsia="zh-CN" w:bidi="ar-SA"/>
        </w:rPr>
        <w:t>Принцип обнаружения в полной мере использует способность метана поглощать излучение на определённой длине волны. Когда зондирующий луч встречает молекулы метана, часть луча поглощается ими. Измеряя степень поглощения, можно определить концентрацию метана.</w:t>
      </w:r>
    </w:p>
    <w:p w14:paraId="6737FE8B">
      <w:pPr>
        <w:pStyle w:val="3"/>
        <w:rPr>
          <w:rFonts w:hint="eastAsia" w:eastAsia="黑体"/>
          <w:szCs w:val="28"/>
          <w:lang w:eastAsia="zh-CN"/>
        </w:rPr>
      </w:pPr>
      <w:bookmarkStart w:id="23" w:name="_Toc97643646"/>
      <w:bookmarkStart w:id="24" w:name="_Toc462756359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28"/>
          <w:lang w:val="en-US" w:eastAsia="zh-CN" w:bidi="ar-SA"/>
        </w:rPr>
        <w:t>2.2 Вид спереди</w:t>
      </w:r>
      <w:bookmarkEnd w:id="23"/>
      <w:bookmarkEnd w:id="24"/>
    </w:p>
    <w:p w14:paraId="401F86AE">
      <w:pPr>
        <w:rPr>
          <w:rFonts w:ascii="仿宋" w:hAnsi="仿宋" w:eastAsia="仿宋" w:cs="仿宋"/>
        </w:rPr>
      </w:pPr>
    </w:p>
    <w:p w14:paraId="0292455E">
      <w:pPr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 xml:space="preserve">Панорамно-поворотная головка</w:t>
      </w:r>
    </w:p>
    <w:p w14:paraId="02D159E6">
      <w:pPr>
        <w:rPr>
          <w:rFonts w:hint="eastAsia" w:ascii="仿宋" w:hAnsi="仿宋" w:eastAsia="仿宋" w:cs="仿宋"/>
          <w:lang w:eastAsia="zh-CN"/>
        </w:rPr>
      </w:pPr>
      <w:r>
        <w:rPr>
          <w:rFonts w:ascii="Times New Roman" w:hAnsi="仿宋" w:eastAsia="仿宋" w:cs="仿宋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162560</wp:posOffset>
                </wp:positionV>
                <wp:extent cx="31750" cy="1891665"/>
                <wp:effectExtent l="6350" t="0" r="12700" b="13335"/>
                <wp:wrapNone/>
                <wp:docPr id="42" name="自选图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" cy="18916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1" o:spid="_x0000_s1026" o:spt="32" type="#_x0000_t32" style="position:absolute;left:0pt;flip:y;margin-left:114.9pt;margin-top:12.8pt;height:148.95pt;width:2.5pt;z-index:251667456;mso-width-relative:page;mso-height-relative:page;" filled="f" stroked="t" coordsize="21600,21600" o:gfxdata="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PUaES2AAAAAoBAAAPAAAAAAAAAAEAIAAAACIAAABk&#10;cnMvZG93bnJldi54bWxQSwECFAAUAAAACACHTuJANTantwYCAAABBAAADgAAAAAAAAABACAAAAAn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仿宋" w:eastAsia="仿宋" w:cs="仿宋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2698750</wp:posOffset>
                </wp:positionH>
                <wp:positionV relativeFrom="paragraph">
                  <wp:posOffset>0</wp:posOffset>
                </wp:positionV>
                <wp:extent cx="20320" cy="1548130"/>
                <wp:effectExtent l="6350" t="0" r="24130" b="1270"/>
                <wp:wrapNone/>
                <wp:docPr id="40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20" cy="15481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32" type="#_x0000_t32" style="position:absolute;left:0pt;flip:y;margin-left:212.5pt;margin-top:0pt;height:121.9pt;width:1.6pt;z-index:251666432;mso-width-relative:page;mso-height-relative:page;" filled="f" stroked="t" coordsize="21600,21600" o:gfxdata="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a4M1+1wAAAAgBAAAPAAAAAAAAAAEAIAAAACIAAABk&#10;cnMvZG93bnJldi54bWxQSwECFAAUAAAACACHTuJA6SKMcwcCAAAABAAADgAAAAAAAAABACAAAAAm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 xml:space="preserve">Приёмо-передающее устройство Камера Приёмо-передающее устройство Камера</w:t>
      </w:r>
    </w:p>
    <w:p w14:paraId="6F2AA73D">
      <w:pPr>
        <w:rPr>
          <w:rFonts w:ascii="仿宋" w:hAnsi="仿宋" w:eastAsia="仿宋" w:cs="仿宋"/>
        </w:rPr>
      </w:pPr>
      <w:r>
        <w:rPr>
          <w:rFonts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12065</wp:posOffset>
                </wp:positionV>
                <wp:extent cx="6985" cy="1891665"/>
                <wp:effectExtent l="6350" t="0" r="12065" b="13335"/>
                <wp:wrapNone/>
                <wp:docPr id="11" name="自选图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5" cy="18916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" o:spid="_x0000_s1026" o:spt="32" type="#_x0000_t32" style="position:absolute;left:0pt;flip:y;margin-left:326.95pt;margin-top:0.95pt;height:148.95pt;width:0.55pt;z-index:251660288;mso-width-relative:page;mso-height-relative:page;" filled="f" stroked="t" coordsize="21600,21600" o:gfxdata="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J2Pc81wAAAAkBAAAPAAAAAAAAAAEAIAAAACIAAABkcnMvZG93&#10;bnJldi54bWxQSwECFAAUAAAACACHTuJAQW4CgwECAAAABAAADgAAAAAAAAABACAAAAAmAQAAZHJz&#10;L2Uyb0RvYy54bWxQSwUGAAAAAAYABgBZAQAAm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257F8964">
      <w:pPr>
        <w:jc w:val="center"/>
        <w:rPr>
          <w:rFonts w:ascii="仿宋" w:hAnsi="仿宋" w:eastAsia="仿宋" w:cs="仿宋"/>
        </w:rPr>
      </w:pPr>
      <w:r>
        <w:rPr>
          <w:rFonts w:ascii="仿宋" w:hAnsi="仿宋" w:eastAsia="仿宋" w:cs="仿宋"/>
        </w:rPr>
        <w:drawing>
          <wp:inline distT="0" distB="0" distL="0" distR="0">
            <wp:extent cx="4126230" cy="36715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8641" cy="368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55A9E">
      <w:pPr>
        <w:rPr>
          <w:rFonts w:ascii="黑体" w:hAnsi="黑体" w:eastAsia="黑体"/>
          <w:sz w:val="28"/>
          <w:szCs w:val="28"/>
        </w:rPr>
      </w:pPr>
    </w:p>
    <w:p w14:paraId="66F4CCC2">
      <w:pPr>
        <w:rPr>
          <w:rFonts w:ascii="黑体" w:hAnsi="黑体" w:eastAsia="黑体"/>
          <w:sz w:val="28"/>
          <w:szCs w:val="28"/>
        </w:rPr>
      </w:pPr>
    </w:p>
    <w:p w14:paraId="2F9D7D98">
      <w:pPr>
        <w:pStyle w:val="3"/>
        <w:rPr>
          <w:rFonts w:hint="eastAsia" w:eastAsia="黑体"/>
          <w:lang w:eastAsia="zh-CN"/>
        </w:rPr>
      </w:pPr>
      <w:bookmarkStart w:id="25" w:name="_Toc462756360"/>
      <w:bookmarkStart w:id="26" w:name="_Toc97643647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2.3 Взрывозащищённая коробка</w:t>
      </w:r>
      <w:bookmarkEnd w:id="25"/>
      <w:bookmarkEnd w:id="26"/>
    </w:p>
    <w:p w14:paraId="59E5DDA5">
      <w:pPr>
        <w:jc w:val="center"/>
        <w:rPr>
          <w:rFonts w:ascii="黑体" w:hAnsi="黑体" w:eastAsia="黑体"/>
          <w:sz w:val="28"/>
          <w:szCs w:val="28"/>
        </w:rPr>
      </w:pPr>
      <w:r>
        <w:drawing>
          <wp:inline distT="0" distB="0" distL="0" distR="0">
            <wp:extent cx="2027555" cy="26581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0943" cy="267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7EAEF">
      <w:pPr>
        <w:rPr>
          <w:rFonts w:ascii="黑体" w:hAnsi="黑体" w:eastAsia="黑体"/>
          <w:szCs w:val="21"/>
        </w:rPr>
      </w:pPr>
    </w:p>
    <w:p w14:paraId="7AAC90E9">
      <w:pPr>
        <w:pStyle w:val="3"/>
        <w:rPr>
          <w:rFonts w:hint="eastAsia" w:eastAsia="黑体"/>
          <w:lang w:eastAsia="zh-CN"/>
        </w:rPr>
      </w:pPr>
      <w:bookmarkStart w:id="27" w:name="_Toc97643648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2.4 Габариты поворотного устройства и размеры монтажного пространства</w:t>
      </w:r>
      <w:bookmarkEnd w:id="27"/>
    </w:p>
    <w:p w14:paraId="42A1A093">
      <w:pPr>
        <w:widowControl/>
        <w:jc w:val="left"/>
        <w:rPr>
          <w:rFonts w:ascii="黑体" w:hAnsi="黑体" w:eastAsia="黑体"/>
          <w:szCs w:val="21"/>
        </w:rPr>
      </w:pPr>
    </w:p>
    <w:p w14:paraId="1C9CC90A">
      <w:pPr>
        <w:widowControl/>
        <w:jc w:val="left"/>
        <w:rPr>
          <w:rFonts w:ascii="黑体" w:hAnsi="黑体" w:eastAsia="黑体"/>
          <w:szCs w:val="21"/>
        </w:rPr>
      </w:pPr>
      <w:r>
        <w:rPr>
          <w:rFonts w:ascii="黑体" w:hAnsi="黑体" w:eastAsia="黑体"/>
          <w:szCs w:val="21"/>
        </w:rPr>
        <w:drawing>
          <wp:inline distT="0" distB="0" distL="0" distR="0">
            <wp:extent cx="2422525" cy="217043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0508" cy="2177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szCs w:val="21"/>
        </w:rPr>
        <w:drawing>
          <wp:inline distT="0" distB="0" distL="0" distR="0">
            <wp:extent cx="2433955" cy="196342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397" cy="197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FEDCF">
      <w:pPr>
        <w:widowControl/>
        <w:jc w:val="center"/>
        <w:rPr>
          <w:rFonts w:hint="eastAsia" w:ascii="黑体" w:hAnsi="黑体" w:eastAsia="黑体"/>
          <w:szCs w:val="21"/>
          <w:lang w:eastAsia="zh-CN"/>
        </w:rPr>
      </w:pPr>
      <w:r>
        <w:rPr>
          <w:rFonts w:hint="eastAsia" w:ascii="Times New Roman" w:hAnsi="黑体" w:eastAsia="黑体" w:cs="Times New Roman"/>
          <w:kern w:val="2"/>
          <w:sz w:val="21"/>
          <w:szCs w:val="21"/>
          <w:lang w:val="en-US" w:eastAsia="zh-CN" w:bidi="ar-SA"/>
        </w:rPr>
        <w:t>Габаритный чертёж</w:t>
      </w:r>
    </w:p>
    <w:p w14:paraId="1486512D">
      <w:pPr>
        <w:widowControl/>
        <w:jc w:val="center"/>
        <w:rPr>
          <w:rFonts w:ascii="黑体" w:hAnsi="黑体" w:eastAsia="黑体"/>
          <w:szCs w:val="21"/>
        </w:rPr>
      </w:pPr>
    </w:p>
    <w:p w14:paraId="71108DC5">
      <w:pPr>
        <w:widowControl/>
        <w:jc w:val="center"/>
        <w:rPr>
          <w:rFonts w:ascii="黑体" w:hAnsi="黑体" w:eastAsia="黑体"/>
          <w:szCs w:val="21"/>
        </w:rPr>
      </w:pPr>
    </w:p>
    <w:p w14:paraId="7FBAC44C">
      <w:pPr>
        <w:widowControl/>
        <w:jc w:val="center"/>
        <w:rPr>
          <w:rFonts w:ascii="黑体" w:hAnsi="黑体" w:eastAsia="黑体"/>
          <w:szCs w:val="21"/>
        </w:rPr>
      </w:pPr>
    </w:p>
    <w:p w14:paraId="770109EE">
      <w:pPr>
        <w:pStyle w:val="2"/>
        <w:rPr>
          <w:rFonts w:hint="eastAsia" w:eastAsia="黑体"/>
          <w:lang w:eastAsia="zh-CN"/>
        </w:rPr>
      </w:pPr>
      <w:bookmarkStart w:id="28" w:name="_Toc97643649"/>
      <w:bookmarkStart w:id="29" w:name="_Toc462756366"/>
      <w:r>
        <w:rPr>
          <w:rFonts w:hint="eastAsia" w:ascii="Times New Roman" w:hAnsi="Calibri" w:eastAsia="黑体" w:cs="Times New Roman"/>
          <w:b/>
          <w:bCs/>
          <w:kern w:val="44"/>
          <w:sz w:val="32"/>
          <w:szCs w:val="44"/>
          <w:lang w:val="en-US" w:eastAsia="zh-CN" w:bidi="ar-SA"/>
        </w:rPr>
        <w:t>III. Порядок выполнения монтажа</w:t>
      </w:r>
      <w:bookmarkEnd w:id="28"/>
      <w:bookmarkEnd w:id="29"/>
    </w:p>
    <w:p w14:paraId="5C4B915C">
      <w:pPr>
        <w:pStyle w:val="3"/>
        <w:rPr>
          <w:rFonts w:hint="eastAsia" w:eastAsia="黑体"/>
          <w:lang w:eastAsia="zh-CN"/>
        </w:rPr>
      </w:pPr>
      <w:bookmarkStart w:id="30" w:name="_Toc97643650"/>
      <w:bookmarkStart w:id="31" w:name="_Toc462756367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3.1 Порядок выполнения монтажа</w:t>
      </w:r>
      <w:bookmarkEnd w:id="30"/>
      <w:bookmarkEnd w:id="31"/>
    </w:p>
    <w:p w14:paraId="64301943">
      <w:pPr>
        <w:ind w:firstLine="420" w:firstLineChars="200"/>
        <w:rPr>
          <w:rFonts w:hint="eastAsia" w:ascii="仿宋" w:hAnsi="仿宋" w:eastAsia="仿宋"/>
          <w:szCs w:val="21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1"/>
          <w:lang w:val="en-US" w:eastAsia="zh-CN" w:bidi="ar-SA"/>
        </w:rPr>
        <w:t>1) Сначала установите данное оборудование в указанном месте;</w:t>
      </w:r>
    </w:p>
    <w:p w14:paraId="1AD0F3D6">
      <w:pPr>
        <w:ind w:firstLine="420" w:firstLineChars="200"/>
        <w:rPr>
          <w:rFonts w:hint="eastAsia" w:ascii="仿宋" w:hAnsi="仿宋" w:eastAsia="仿宋"/>
          <w:szCs w:val="21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1"/>
          <w:lang w:val="en-US" w:eastAsia="zh-CN" w:bidi="ar-SA"/>
        </w:rPr>
        <w:t>2) Подключите выход PTZ к взрывозащищённой коробке через взрывозащищённый рукав. Взрывозащищённая коробка обеспечивает питание 220В, интерфейс RS485 и сетевой видеоинтерфейс.</w:t>
      </w:r>
    </w:p>
    <w:p w14:paraId="1A5FB46C">
      <w:pPr>
        <w:ind w:firstLine="420" w:firstLineChars="200"/>
        <w:rPr>
          <w:rFonts w:hint="eastAsia" w:ascii="仿宋" w:hAnsi="仿宋" w:eastAsia="仿宋"/>
          <w:szCs w:val="21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1"/>
          <w:lang w:val="en-US" w:eastAsia="zh-CN" w:bidi="ar-SA"/>
        </w:rPr>
        <w:t>3) Подключите внешний кабель питания AC 220В к одному концу взрывозащищённого выключателя, затем подключите выходной кабель питания от выключателя к розетке 220В.</w:t>
      </w:r>
    </w:p>
    <w:p w14:paraId="2DA44565">
      <w:pPr>
        <w:ind w:firstLine="420" w:firstLineChars="200"/>
        <w:rPr>
          <w:rFonts w:hint="eastAsia" w:ascii="仿宋" w:hAnsi="仿宋" w:eastAsia="仿宋"/>
          <w:szCs w:val="21"/>
          <w:lang w:eastAsia="zh-CN"/>
        </w:rPr>
      </w:pPr>
      <w:r>
        <w:rPr>
          <w:rFonts w:hint="eastAsia" w:ascii="Times New Roman" w:hAnsi="仿宋" w:eastAsia="仿宋" w:cs="Times New Roman"/>
          <w:kern w:val="2"/>
          <w:sz w:val="21"/>
          <w:szCs w:val="21"/>
          <w:lang w:val="en-US" w:eastAsia="zh-CN" w:bidi="ar-SA"/>
        </w:rPr>
        <w:t>4) Передайте сигналы RS485 и видеосигналы на терминал компьютерного мониторинга.</w:t>
      </w:r>
    </w:p>
    <w:p w14:paraId="587FC19E">
      <w:pPr>
        <w:jc w:val="center"/>
        <w:rPr>
          <w:rFonts w:ascii="仿宋" w:hAnsi="仿宋" w:eastAsia="仿宋"/>
          <w:szCs w:val="21"/>
        </w:rPr>
      </w:pPr>
      <w:r>
        <w:rPr>
          <w:rFonts w:ascii="仿宋" w:hAnsi="仿宋" w:eastAsia="仿宋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1643380</wp:posOffset>
                </wp:positionV>
                <wp:extent cx="326390" cy="588010"/>
                <wp:effectExtent l="13970" t="0" r="15240" b="21590"/>
                <wp:wrapNone/>
                <wp:docPr id="33" name="自选图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6390" cy="588645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C0504D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1" o:spid="_x0000_s1026" o:spt="32" type="#_x0000_t32" style="position:absolute;left:0pt;flip:y;margin-left:148.5pt;margin-top:129.4pt;height:46.3pt;width:25.7pt;z-index:251663360;mso-width-relative:page;mso-height-relative:page;" filled="f" stroked="t" coordsize="21600,21600" o:gfxdata="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4jwH7bAAAACwEAAA8AAAAA&#10;AAAAAQAgAAAAIgAAAGRycy9kb3ducmV2LnhtbFBLAQIUABQAAAAIAIdO4kARbPrJEQIAAAYEAAAO&#10;AAAAAAAAAAEAIAAAACoBAABkcnMvZTJvRG9jLnhtbFBLBQYAAAAABgAGAFkBAACtBQAAAAA=&#10;">
                <v:fill on="f" focussize="0,0"/>
                <v:stroke weight="2.5pt" color="#C0504D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1150620</wp:posOffset>
                </wp:positionV>
                <wp:extent cx="811530" cy="476885"/>
                <wp:effectExtent l="8255" t="0" r="18415" b="31115"/>
                <wp:wrapNone/>
                <wp:docPr id="23" name="自选图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1530" cy="476885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C0504D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9" o:spid="_x0000_s1026" o:spt="32" type="#_x0000_t32" style="position:absolute;left:0pt;flip:y;margin-left:15.15pt;margin-top:90.6pt;height:37.55pt;width:63.9pt;z-index:251662336;mso-width-relative:page;mso-height-relative:page;" filled="f" stroked="t" coordsize="21600,21600" o:gfxdata="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+WAaltoAAAAKAQAADwAAAAAA&#10;AAABACAAAAAiAAAAZHJzL2Rvd25yZXYueG1sUEsBAhQAFAAAAAgAh07iQKnDNX8RAgAABgQAAA4A&#10;AAAAAAAAAQAgAAAAKQEAAGRycy9lMm9Eb2MueG1sUEsFBgAAAAAGAAYAWQEAAKwFAAAAAA==&#10;">
                <v:fill on="f" focussize="0,0"/>
                <v:stroke weight="2.5pt" color="#C0504D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1609090</wp:posOffset>
                </wp:positionH>
                <wp:positionV relativeFrom="paragraph">
                  <wp:posOffset>2164715</wp:posOffset>
                </wp:positionV>
                <wp:extent cx="850265" cy="299085"/>
                <wp:effectExtent l="6350" t="6350" r="6985" b="24765"/>
                <wp:wrapNone/>
                <wp:docPr id="35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26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D2A43AB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Times New Roman" w:hAnsi="Calibri" w:eastAsia="宋体" w:cs="Times New Roman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w:t>Взрывозащищённый рукав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2" o:spid="_x0000_s1026" o:spt="202" type="#_x0000_t202" style="position:absolute;left:0pt;margin-left:126.7pt;margin-top:170.45pt;height:23.55pt;width:66.95pt;z-index:251664384;mso-width-relative:page;mso-height-relative:margin;mso-height-percent:200;" fillcolor="#FFFFFF" filled="t" stroked="t" coordsize="21600,21600" o:gfxdata="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k7EKy2QAA&#10;AAsBAAAPAAAAAAAAAAEAIAAAACIAAABkcnMvZG93bnJldi54bWxQSwECFAAUAAAACACHTuJAqwx2&#10;/h0CAABfBAAADgAAAAAAAAABACAAAAAoAQAAZHJzL2Uyb0RvYy54bWxQSwUGAAAAAAYABgBZAQAA&#10;twUAAAAA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 w14:paraId="3D2A43AB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Times New Roman" w:hAnsi="Calibri" w:eastAsia="宋体" w:cs="Times New Roman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  <w:t>Взрывозащищённый рукав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ragraph">
                  <wp:posOffset>1487170</wp:posOffset>
                </wp:positionV>
                <wp:extent cx="508000" cy="299085"/>
                <wp:effectExtent l="6350" t="6350" r="19050" b="24765"/>
                <wp:wrapNone/>
                <wp:docPr id="38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1D261CD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Times New Roman" w:hAnsi="Calibri" w:eastAsia="宋体" w:cs="Times New Roman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w:t>Облачная платформа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3" o:spid="_x0000_s1026" o:spt="202" type="#_x0000_t202" style="position:absolute;left:0pt;margin-left:-8.6pt;margin-top:117.1pt;height:23.55pt;width:40pt;z-index:251665408;mso-width-relative:page;mso-height-relative:margin;mso-height-percent:200;" fillcolor="#FFFFFF" filled="t" stroked="t" coordsize="21600,21600" o:gfxdata="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ris8MdgA&#10;AAAKAQAADwAAAAAAAAABACAAAAAiAAAAZHJzL2Rvd25yZXYueG1sUEsBAhQAFAAAAAgAh07iQDzk&#10;OfMfAgAAXwQAAA4AAAAAAAAAAQAgAAAAJwEAAGRycy9lMm9Eb2MueG1sUEsFBgAAAAAGAAYAWQEA&#10;ALgFAAAAAA=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 w14:paraId="11D261CD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Times New Roman" w:hAnsi="Calibri" w:eastAsia="宋体" w:cs="Times New Roman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  <w:t>Облачная платформа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/>
          <w:szCs w:val="21"/>
        </w:rPr>
        <w:drawing>
          <wp:inline distT="0" distB="0" distL="0" distR="0">
            <wp:extent cx="5263515" cy="227393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C2EA2">
      <w:pPr>
        <w:pStyle w:val="3"/>
        <w:rPr>
          <w:rFonts w:hint="eastAsia" w:eastAsia="黑体"/>
          <w:lang w:eastAsia="zh-CN"/>
        </w:rPr>
      </w:pPr>
      <w:bookmarkStart w:id="32" w:name="_Toc97643651"/>
      <w:bookmarkStart w:id="33" w:name="_Toc462756368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3.2 Проверка оборудования</w:t>
      </w:r>
      <w:bookmarkEnd w:id="32"/>
      <w:bookmarkEnd w:id="33"/>
    </w:p>
    <w:p w14:paraId="06966E2D">
      <w:pPr>
        <w:ind w:firstLine="420" w:firstLineChars="200"/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>1) Проверьте целостность оборудования и убедитесь, что все оптические волокна и кабели питания правильно подключены и находятся в исправном состоянии;</w:t>
      </w:r>
    </w:p>
    <w:p w14:paraId="61FAB42D">
      <w:pPr>
        <w:ind w:firstLine="420" w:firstLineChars="200"/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>2) Проверьте чистоту зеркальной поверхности приёмо-передающего устройства и регулярно протирайте её мягкой сухой тканью.</w:t>
      </w:r>
    </w:p>
    <w:p w14:paraId="56DD5384">
      <w:pPr>
        <w:rPr>
          <w:rFonts w:ascii="仿宋" w:hAnsi="仿宋" w:eastAsia="仿宋" w:cs="仿宋"/>
        </w:rPr>
      </w:pPr>
    </w:p>
    <w:p w14:paraId="6F38ECC0">
      <w:pPr>
        <w:pStyle w:val="3"/>
        <w:rPr>
          <w:rFonts w:hint="eastAsia" w:eastAsia="黑体"/>
          <w:lang w:eastAsia="zh-CN"/>
        </w:rPr>
      </w:pPr>
      <w:bookmarkStart w:id="34" w:name="_Toc462756369"/>
      <w:bookmarkStart w:id="35" w:name="_Toc97643652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3.3 Эксплуатация оборудования</w:t>
      </w:r>
      <w:bookmarkEnd w:id="34"/>
      <w:bookmarkEnd w:id="35"/>
    </w:p>
    <w:p w14:paraId="517A4379">
      <w:pPr>
        <w:pStyle w:val="4"/>
        <w:rPr>
          <w:rFonts w:hint="eastAsia" w:eastAsia="黑体"/>
          <w:lang w:eastAsia="zh-CN"/>
        </w:rPr>
      </w:pPr>
      <w:bookmarkStart w:id="36" w:name="_Toc97643653"/>
      <w:bookmarkStart w:id="37" w:name="_Toc462756370"/>
      <w:r>
        <w:rPr>
          <w:rFonts w:hint="eastAsia" w:ascii="Times New Roman" w:hAnsi="Calibri" w:eastAsia="黑体" w:cs="Times New Roman"/>
          <w:b/>
          <w:bCs/>
          <w:kern w:val="2"/>
          <w:sz w:val="21"/>
          <w:szCs w:val="32"/>
          <w:lang w:val="en-US" w:eastAsia="zh-CN" w:bidi="ar-SA"/>
        </w:rPr>
        <w:t>3.3.1 Основные операции</w:t>
      </w:r>
      <w:bookmarkEnd w:id="36"/>
      <w:bookmarkEnd w:id="37"/>
    </w:p>
    <w:p w14:paraId="4A2D6A40">
      <w:pPr>
        <w:spacing w:line="360" w:lineRule="auto"/>
        <w:rPr>
          <w:rFonts w:hint="eastAsia" w:ascii="仿宋" w:hAnsi="仿宋" w:eastAsia="仿宋" w:cs="仿宋"/>
          <w:szCs w:val="21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1"/>
          <w:lang w:val="en-US" w:eastAsia="zh-CN" w:bidi="ar-SA"/>
        </w:rPr>
        <w:t>1) После завершения вышеописанной проверки включите взрывозащищённый выключатель и подайте питание на оборудование;</w:t>
      </w:r>
    </w:p>
    <w:p w14:paraId="42B63E16">
      <w:pPr>
        <w:spacing w:line="360" w:lineRule="auto"/>
        <w:rPr>
          <w:rFonts w:hint="eastAsia" w:ascii="仿宋" w:hAnsi="仿宋" w:eastAsia="仿宋" w:cs="仿宋"/>
          <w:szCs w:val="21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1"/>
          <w:lang w:val="en-US" w:eastAsia="zh-CN" w:bidi="ar-SA"/>
        </w:rPr>
        <w:t>2) При первом включении питания подвес выполняет цикл вращения самодиагностики.</w:t>
      </w:r>
    </w:p>
    <w:p w14:paraId="08A8ABFA">
      <w:pPr>
        <w:spacing w:line="360" w:lineRule="auto"/>
        <w:rPr>
          <w:rFonts w:hint="eastAsia" w:ascii="仿宋" w:hAnsi="仿宋" w:eastAsia="仿宋" w:cs="仿宋"/>
          <w:szCs w:val="21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1"/>
          <w:lang w:val="en-US" w:eastAsia="zh-CN" w:bidi="ar-SA"/>
        </w:rPr>
        <w:t>3) Запустите программное обеспечение обнаружения и начните мониторинг.</w:t>
      </w:r>
    </w:p>
    <w:p w14:paraId="419E2A6D">
      <w:pPr>
        <w:pStyle w:val="2"/>
        <w:rPr>
          <w:rFonts w:hint="eastAsia" w:eastAsia="黑体"/>
          <w:lang w:eastAsia="zh-CN"/>
        </w:rPr>
      </w:pPr>
      <w:bookmarkStart w:id="38" w:name="_Toc97643654"/>
      <w:r>
        <w:rPr>
          <w:rFonts w:hint="eastAsia" w:ascii="Times New Roman" w:hAnsi="Calibri" w:eastAsia="黑体" w:cs="Times New Roman"/>
          <w:b/>
          <w:bCs/>
          <w:kern w:val="44"/>
          <w:sz w:val="32"/>
          <w:szCs w:val="44"/>
          <w:lang w:val="en-US" w:eastAsia="zh-CN" w:bidi="ar-SA"/>
        </w:rPr>
        <w:t>IV. Работа с программным обеспечением</w:t>
      </w:r>
      <w:bookmarkEnd w:id="38"/>
    </w:p>
    <w:p w14:paraId="53116D80">
      <w:pPr>
        <w:pStyle w:val="3"/>
        <w:rPr>
          <w:rFonts w:hint="eastAsia" w:eastAsia="黑体"/>
          <w:lang w:eastAsia="zh-CN"/>
        </w:rPr>
      </w:pPr>
      <w:bookmarkStart w:id="39" w:name="_Toc97643655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4.1 Запуск программы</w:t>
      </w:r>
      <w:bookmarkEnd w:id="39"/>
    </w:p>
    <w:p w14:paraId="10F9BC67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 xml:space="preserve">Нажмите значок на рабочем столе, чтобы запустить программу.</w:t>
      </w:r>
      <w:r>
        <w:drawing>
          <wp:inline distT="0" distB="0" distL="0" distR="0">
            <wp:extent cx="685800" cy="771525"/>
            <wp:effectExtent l="0" t="0" r="0" b="1587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/>
      </w:r>
    </w:p>
    <w:p w14:paraId="092BB37C">
      <w:pPr>
        <w:pStyle w:val="3"/>
        <w:rPr>
          <w:rFonts w:hint="eastAsia" w:eastAsia="黑体"/>
          <w:lang w:eastAsia="zh-CN"/>
        </w:rPr>
      </w:pPr>
      <w:bookmarkStart w:id="40" w:name="_Toc97643656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4.2 Вход пользователя</w:t>
      </w:r>
      <w:bookmarkEnd w:id="40"/>
    </w:p>
    <w:p w14:paraId="62D0903A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1. Нажмите «Пользователь/Справка» на панели инструментов и выберите «Вход»</w:t>
      </w:r>
    </w:p>
    <w:p w14:paraId="50559728">
      <w:r>
        <w:drawing>
          <wp:inline distT="0" distB="0" distL="0" distR="0">
            <wp:extent cx="3474720" cy="75438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66712" cy="774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0D0D8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2. Откройте диалоговое окно входа</w:t>
      </w:r>
    </w:p>
    <w:p w14:paraId="0E8431EB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Выберите пароль администратора по умолчанию «5656»</w:t>
      </w:r>
    </w:p>
    <w:p w14:paraId="31D1CE02">
      <w:pPr>
        <w:jc w:val="center"/>
      </w:pPr>
      <w:r>
        <w:drawing>
          <wp:inline distT="0" distB="0" distL="0" distR="0">
            <wp:extent cx="1505585" cy="161353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731" cy="163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82F4F">
      <w:pPr>
        <w:rPr>
          <w:rFonts w:hint="eastAsia" w:eastAsia="宋体"/>
          <w:lang w:eastAsia="zh-CN"/>
        </w:rPr>
      </w:pPr>
      <w:bookmarkStart w:id="41" w:name="_Toc462756373"/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Нажмите «ОК» для входа.</w:t>
      </w:r>
      <w:bookmarkEnd w:id="41"/>
    </w:p>
    <w:p w14:paraId="1D704761">
      <w:pPr>
        <w:pStyle w:val="3"/>
        <w:rPr>
          <w:rFonts w:hint="eastAsia" w:eastAsia="黑体"/>
          <w:lang w:eastAsia="zh-CN"/>
        </w:rPr>
      </w:pPr>
      <w:bookmarkStart w:id="42" w:name="_Toc97643657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4.3 Подключение видеосигнала</w:t>
      </w:r>
      <w:bookmarkEnd w:id="42"/>
    </w:p>
    <w:p w14:paraId="114B55BC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1. Нажмите «Связь» на панели инструментов, затем выберите «Подключить», чтобы открыть диалоговое окно подключения видеосигнала.</w:t>
      </w:r>
    </w:p>
    <w:p w14:paraId="54D46CCF">
      <w:r>
        <w:drawing>
          <wp:inline distT="0" distB="0" distL="0" distR="0">
            <wp:extent cx="2258060" cy="72453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9823" cy="73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A2B18"/>
    <w:p w14:paraId="6C405FD4">
      <w:pPr>
        <w:jc w:val="center"/>
      </w:pPr>
      <w:r>
        <w:drawing>
          <wp:inline distT="0" distB="0" distL="0" distR="0">
            <wp:extent cx="1691640" cy="187642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07895" cy="1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4B13D">
      <w:pPr>
        <w:jc w:val="left"/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2. Введите IP-адрес, номер порта, имя пользователя и пароль для видеосигнала (информация хранится на облачной платформе). Нажмите «ОК» для подключения.</w:t>
      </w:r>
    </w:p>
    <w:p w14:paraId="062B91EA">
      <w:pPr>
        <w:jc w:val="center"/>
      </w:pPr>
      <w:r>
        <w:drawing>
          <wp:inline distT="0" distB="0" distL="0" distR="0">
            <wp:extent cx="4667250" cy="37528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6866" cy="376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03CB1">
      <w:pPr>
        <w:jc w:val="center"/>
      </w:pPr>
    </w:p>
    <w:p w14:paraId="1875C3DB">
      <w:pPr>
        <w:pStyle w:val="3"/>
        <w:jc w:val="left"/>
        <w:rPr>
          <w:rFonts w:hint="eastAsia" w:eastAsia="黑体"/>
          <w:lang w:eastAsia="zh-CN"/>
        </w:rPr>
      </w:pPr>
      <w:bookmarkStart w:id="43" w:name="_Toc97643658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4.4. Подключение сигналов зондирования</w:t>
      </w:r>
      <w:bookmarkEnd w:id="43"/>
    </w:p>
    <w:p w14:paraId="6447ACB0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1. Нажмите «Настройки» в разделе «Связь» на панели инструментов, чтобы открыть диалоговое окно настроек</w:t>
      </w:r>
    </w:p>
    <w:p w14:paraId="711D3CD7">
      <w:r>
        <w:drawing>
          <wp:inline distT="0" distB="0" distL="0" distR="0">
            <wp:extent cx="2567940" cy="9309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6407" cy="93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39081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2. Выберите порт из раскрывающегося списка «Имя ресурса VISA», нажмите «Проверить подключение»; при загорании зелёного индикатора соединение установлено, затем нажмите «ОК» и, наконец, «Выход».</w:t>
      </w:r>
    </w:p>
    <w:p w14:paraId="4F942847">
      <w:pPr>
        <w:jc w:val="center"/>
      </w:pPr>
      <w:r>
        <w:drawing>
          <wp:inline distT="0" distB="0" distL="0" distR="0">
            <wp:extent cx="1704975" cy="209105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0266" cy="210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CCACF">
      <w:pPr>
        <w:jc w:val="center"/>
      </w:pPr>
    </w:p>
    <w:p w14:paraId="414EB484">
      <w:pPr>
        <w:jc w:val="left"/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3. После успешного подключения панель инструментов и индикатор соединения включатся</w:t>
      </w:r>
    </w:p>
    <w:p w14:paraId="5528F393">
      <w:pPr>
        <w:jc w:val="left"/>
      </w:pPr>
      <w:r>
        <w:drawing>
          <wp:inline distT="0" distB="0" distL="0" distR="0">
            <wp:extent cx="2464435" cy="68516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81888" cy="69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6BE8C">
      <w:pPr>
        <w:pStyle w:val="3"/>
        <w:rPr>
          <w:rFonts w:hint="eastAsia" w:eastAsia="黑体"/>
          <w:lang w:eastAsia="zh-CN"/>
        </w:rPr>
      </w:pPr>
      <w:bookmarkStart w:id="44" w:name="_Toc97643659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4.5 Запуск задачи зондирования</w:t>
      </w:r>
      <w:bookmarkEnd w:id="44"/>
    </w:p>
    <w:p w14:paraId="370F1D31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Нажмите «Пуск» на панели инструментов, затем нажмите «Запуск задачи», чтобы начать задачу зондирования.</w:t>
      </w:r>
    </w:p>
    <w:p w14:paraId="78FB55CA">
      <w:r>
        <w:drawing>
          <wp:inline distT="0" distB="0" distL="0" distR="0">
            <wp:extent cx="3577590" cy="8464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43367" cy="86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F1619"/>
    <w:p w14:paraId="67B07BED">
      <w:r>
        <w:drawing>
          <wp:inline distT="0" distB="0" distL="0" distR="0">
            <wp:extent cx="5274310" cy="425704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91503"/>
    <w:p w14:paraId="08B81726">
      <w:pPr>
        <w:pStyle w:val="3"/>
        <w:rPr>
          <w:rFonts w:hint="eastAsia" w:eastAsia="黑体"/>
          <w:lang w:eastAsia="zh-CN"/>
        </w:rPr>
      </w:pPr>
      <w:bookmarkStart w:id="45" w:name="_Toc97643660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4.6 Завершение задачи зондирования</w:t>
      </w:r>
      <w:bookmarkEnd w:id="45"/>
    </w:p>
    <w:p w14:paraId="4F433261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Нажмите «Пуск» на панели инструментов, затем нажмите «Остановить задачу», чтобы остановить задачу зондирования.</w:t>
      </w:r>
    </w:p>
    <w:p w14:paraId="32FB8C94">
      <w:r>
        <w:drawing>
          <wp:inline distT="0" distB="0" distL="0" distR="0">
            <wp:extent cx="3339465" cy="78422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66883" cy="79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C099C">
      <w:pPr>
        <w:pStyle w:val="3"/>
        <w:rPr>
          <w:rFonts w:hint="eastAsia" w:eastAsia="黑体"/>
          <w:lang w:eastAsia="zh-CN"/>
        </w:rPr>
      </w:pPr>
      <w:bookmarkStart w:id="46" w:name="_Toc97643661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4.7 Настройка точек сигнализации</w:t>
      </w:r>
      <w:bookmarkEnd w:id="46"/>
    </w:p>
    <w:p w14:paraId="61C402AE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1. Нажмите «Пуск» на панели инструментов, затем выберите «Информация о конфигурации», чтобы настроить точки сигнализации</w:t>
      </w:r>
    </w:p>
    <w:p w14:paraId="07AE4E40">
      <w:r>
        <w:drawing>
          <wp:inline distT="0" distB="0" distL="0" distR="0">
            <wp:extent cx="3943350" cy="87693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11235" cy="89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2939C"/>
    <w:p w14:paraId="0B72AD05">
      <w:pPr>
        <w:jc w:val="center"/>
      </w:pPr>
      <w:r>
        <w:drawing>
          <wp:inline distT="0" distB="0" distL="0" distR="0">
            <wp:extent cx="1729740" cy="232156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36975" cy="233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1E5F1">
      <w:pPr>
        <w:jc w:val="center"/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Рисунок 4.7.1 Настройка точек сигнализации</w:t>
      </w:r>
    </w:p>
    <w:p w14:paraId="3DEF0354">
      <w:pPr>
        <w:jc w:val="left"/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2. Нажмите «Изменить», затем «Выход»</w:t>
      </w:r>
    </w:p>
    <w:p w14:paraId="3A0CEE77">
      <w:pPr>
        <w:pStyle w:val="3"/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F50292C">
      <w:pPr>
        <w:pStyle w:val="3"/>
        <w:rPr>
          <w:rFonts w:hint="eastAsia" w:eastAsia="黑体"/>
          <w:lang w:eastAsia="zh-CN"/>
        </w:rPr>
      </w:pPr>
      <w:bookmarkStart w:id="47" w:name="_Toc97643662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4.8. Настройка точек позиционирования сканирования</w:t>
      </w:r>
      <w:bookmarkEnd w:id="47"/>
    </w:p>
    <w:p w14:paraId="47BB2B13">
      <w:pPr>
        <w:pStyle w:val="4"/>
        <w:rPr>
          <w:rFonts w:hint="eastAsia" w:eastAsia="黑体"/>
          <w:b w:val="0"/>
          <w:bCs w:val="0"/>
          <w:lang w:eastAsia="zh-CN"/>
        </w:rPr>
      </w:pPr>
      <w:bookmarkStart w:id="48" w:name="_Toc97643663"/>
      <w:r>
        <w:rPr>
          <w:rFonts w:hint="eastAsia" w:ascii="Times New Roman" w:hAnsi="Calibri" w:eastAsia="黑体" w:cs="Times New Roman"/>
          <w:b w:val="0"/>
          <w:bCs w:val="0"/>
          <w:kern w:val="2"/>
          <w:sz w:val="21"/>
          <w:szCs w:val="32"/>
          <w:lang w:val="en-US" w:eastAsia="zh-CN" w:bidi="ar-SA"/>
        </w:rPr>
        <w:t>4.8.1 Ручная регулировка точек позиционирования</w:t>
      </w:r>
      <w:bookmarkEnd w:id="48"/>
    </w:p>
    <w:p w14:paraId="46FED582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После подключения видеосигнала можно задавать точки позиционирования и регулировать их по вертикали и горизонтали в правой части программы.</w:t>
      </w:r>
    </w:p>
    <w:p w14:paraId="7DB1D6E3">
      <w:r>
        <w:drawing>
          <wp:inline distT="0" distB="0" distL="0" distR="0">
            <wp:extent cx="1256030" cy="203898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74141" cy="206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EA38C">
      <w:pPr>
        <w:pStyle w:val="4"/>
        <w:rPr>
          <w:rFonts w:hint="eastAsia" w:eastAsia="黑体"/>
          <w:b w:val="0"/>
          <w:bCs w:val="0"/>
          <w:lang w:eastAsia="zh-CN"/>
        </w:rPr>
      </w:pPr>
      <w:bookmarkStart w:id="49" w:name="_Toc97643664"/>
      <w:r>
        <w:rPr>
          <w:rFonts w:hint="eastAsia" w:ascii="Times New Roman" w:hAnsi="Calibri" w:eastAsia="黑体" w:cs="Times New Roman"/>
          <w:b w:val="0"/>
          <w:bCs w:val="0"/>
          <w:kern w:val="2"/>
          <w:sz w:val="21"/>
          <w:szCs w:val="32"/>
          <w:lang w:val="en-US" w:eastAsia="zh-CN" w:bidi="ar-SA"/>
        </w:rPr>
        <w:t>4.8.2 Сохранение точки позиционирования</w:t>
      </w:r>
      <w:bookmarkEnd w:id="49"/>
    </w:p>
    <w:p w14:paraId="13732D62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1. После ручной регулировки точек позиционирования сохраните их, нажав инструмент «Список обхода» на правой панели инструментов программы.</w:t>
      </w:r>
    </w:p>
    <w:p w14:paraId="3E02B7EC">
      <w:r>
        <w:drawing>
          <wp:inline distT="0" distB="0" distL="0" distR="0">
            <wp:extent cx="818515" cy="44386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1180" cy="45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00318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2. Таблица обхода программы отображается следующим образом</w:t>
      </w:r>
    </w:p>
    <w:p w14:paraId="6C850ABC">
      <w:pPr>
        <w:ind w:leftChars="-337" w:hanging="707" w:hangingChars="337"/>
      </w:pPr>
      <w:r>
        <w:drawing>
          <wp:inline distT="0" distB="0" distL="0" distR="0">
            <wp:extent cx="6182995" cy="154241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33172" cy="155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E1AB0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3. Нажмите на запись местоположения, чтобы открыть окно. Сохраните имя записываемой точки, например «Угол стены», затем нажмите «ОК».</w:t>
      </w:r>
    </w:p>
    <w:p w14:paraId="6769451E">
      <w:r>
        <w:drawing>
          <wp:inline distT="0" distB="0" distL="0" distR="0">
            <wp:extent cx="5274310" cy="13462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D669"/>
    <w:p w14:paraId="529F808A">
      <w:pPr>
        <w:pStyle w:val="3"/>
        <w:rPr>
          <w:rFonts w:hint="eastAsia" w:eastAsia="黑体"/>
          <w:lang w:eastAsia="zh-CN"/>
        </w:rPr>
      </w:pPr>
      <w:bookmarkStart w:id="50" w:name="_Toc97643665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4.9 Настройка маршрута обхода</w:t>
      </w:r>
      <w:bookmarkEnd w:id="50"/>
    </w:p>
    <w:p w14:paraId="63609AF1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После настройки точек позиционирования в п. 4.8 их можно объединить в маршрут обхода.</w:t>
      </w:r>
    </w:p>
    <w:p w14:paraId="6A4A10D4">
      <w:pPr>
        <w:ind w:firstLine="420" w:firstLineChars="200"/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Добавить в маршрут обхода</w:t>
      </w:r>
    </w:p>
    <w:p w14:paraId="229A5E81">
      <w:pPr>
        <w:pStyle w:val="27"/>
        <w:ind w:left="360" w:firstLine="0" w:firstLineChars="0"/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В информационной панели предустановленных точек нажмите правой кнопкой мыши, чтобы открыть диалоговое окно, и добавьте точку в указанный маршрут обхода.</w:t>
      </w:r>
    </w:p>
    <w:p w14:paraId="13E578FF">
      <w:pPr>
        <w:pStyle w:val="27"/>
        <w:ind w:left="360" w:firstLine="0" w:firstLineChars="0"/>
      </w:pPr>
      <w:r>
        <w:drawing>
          <wp:inline distT="0" distB="0" distL="0" distR="0">
            <wp:extent cx="5274310" cy="131191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ED847">
      <w:pPr>
        <w:pStyle w:val="27"/>
        <w:ind w:left="360" w:firstLine="0" w:firstLineChars="0"/>
        <w:jc w:val="left"/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2. Задайте время перемещения, которое обозначает продолжительность пребывания в указанном месте.</w:t>
      </w:r>
    </w:p>
    <w:p w14:paraId="664B37D0">
      <w:pPr>
        <w:pStyle w:val="27"/>
        <w:ind w:left="360" w:firstLine="0" w:firstLineChars="0"/>
        <w:jc w:val="left"/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3. После добавления нескольких точек в маршрут обхода нажмите «Сохранить обход», чтобы сохранить маршрут.</w:t>
      </w:r>
    </w:p>
    <w:p w14:paraId="323E1403">
      <w:pPr>
        <w:pStyle w:val="27"/>
        <w:ind w:left="360" w:firstLine="0" w:firstLineChars="0"/>
        <w:jc w:val="left"/>
      </w:pPr>
      <w:r>
        <w:drawing>
          <wp:inline distT="0" distB="0" distL="0" distR="0">
            <wp:extent cx="5274310" cy="126365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42A4E">
      <w:pPr>
        <w:pStyle w:val="3"/>
        <w:rPr>
          <w:rFonts w:hint="eastAsia" w:eastAsia="黑体"/>
          <w:lang w:eastAsia="zh-CN"/>
        </w:rPr>
      </w:pPr>
      <w:bookmarkStart w:id="51" w:name="_Toc97643666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Режим обхода начинается с 4:10</w:t>
      </w:r>
      <w:bookmarkEnd w:id="51"/>
    </w:p>
    <w:p w14:paraId="332F9DC4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Выберите соответствующий номер маршрута обхода и запустите вызов</w:t>
      </w:r>
    </w:p>
    <w:p w14:paraId="5E67022F">
      <w:r>
        <w:rPr>
          <w:rFonts w:hint="eastAsia"/>
        </w:rPr>
        <w:drawing>
          <wp:inline distT="0" distB="0" distL="0" distR="0">
            <wp:extent cx="1556385" cy="11684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8231" cy="118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F31C4"/>
    <w:p w14:paraId="1C33750E">
      <w:pPr>
        <w:pStyle w:val="3"/>
        <w:rPr>
          <w:rFonts w:hint="eastAsia" w:eastAsia="黑体"/>
          <w:lang w:eastAsia="zh-CN"/>
        </w:rPr>
      </w:pPr>
      <w:bookmarkStart w:id="52" w:name="_Toc97643667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4.11 Просмотр истории</w:t>
      </w:r>
      <w:bookmarkEnd w:id="52"/>
    </w:p>
    <w:p w14:paraId="4508396F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1. Нажмите «Чтение данных» на панели инструментов, чтобы открыть диалоговое окно, и выберите соответствующую дату</w:t>
      </w:r>
    </w:p>
    <w:p w14:paraId="40777F54">
      <w:r>
        <w:drawing>
          <wp:inline distT="0" distB="0" distL="0" distR="0">
            <wp:extent cx="3371215" cy="82359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87711" cy="82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187A3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 xml:space="preserve">2. Нажмите «Историческая кривая» в правой части программы, чтобы перейти к отображению исторической кривой.</w:t>
      </w:r>
      <w:r>
        <w:drawing>
          <wp:inline distT="0" distB="0" distL="0" distR="0">
            <wp:extent cx="890270" cy="288925"/>
            <wp:effectExtent l="0" t="0" r="24130" b="1587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10254" cy="29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/>
      </w:r>
    </w:p>
    <w:p w14:paraId="1A936DDA">
      <w:r>
        <w:drawing>
          <wp:inline distT="0" distB="0" distL="0" distR="0">
            <wp:extent cx="5274310" cy="425005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22824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3. Нажмите «Историческая кривая» ещё раз, чтобы вернуться к обычному интерфейсу отображения кривой в реальном времени</w:t>
      </w:r>
    </w:p>
    <w:p w14:paraId="702E9794">
      <w:pPr>
        <w:pStyle w:val="3"/>
        <w:rPr>
          <w:rFonts w:hint="eastAsia" w:eastAsia="黑体"/>
          <w:lang w:eastAsia="zh-CN"/>
        </w:rPr>
      </w:pPr>
      <w:bookmarkStart w:id="53" w:name="_Toc97643668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4.12 Информация о датчике зондирования</w:t>
      </w:r>
      <w:bookmarkEnd w:id="53"/>
    </w:p>
    <w:p w14:paraId="510CC7CC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Интенсивность лазера: показывает текущую интенсивность сигнала датчика.</w:t>
      </w:r>
    </w:p>
    <w:p w14:paraId="539E42A0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Переключатель красного света: переключатель индикатора.</w:t>
      </w:r>
    </w:p>
    <w:p w14:paraId="152F3935">
      <w:pPr>
        <w:rPr>
          <w:rFonts w:hint="eastAsia" w:eastAsia="宋体"/>
          <w:lang w:eastAsia="zh-CN"/>
        </w:rPr>
      </w:pPr>
      <w:r>
        <w:rPr>
          <w:rFonts w:hint="eastAsia" w:ascii="Times New Roman" w:hAnsi="Calibri" w:eastAsia="宋体" w:cs="Times New Roman"/>
          <w:kern w:val="2"/>
          <w:sz w:val="21"/>
          <w:szCs w:val="22"/>
          <w:lang w:val="en-US" w:eastAsia="zh-CN" w:bidi="ar-SA"/>
        </w:rPr>
        <w:t>Состояние лазера: работает ли лазер нормально.</w:t>
      </w:r>
    </w:p>
    <w:p w14:paraId="00193AAA">
      <w:r>
        <w:drawing>
          <wp:inline distT="0" distB="0" distL="0" distR="0">
            <wp:extent cx="1882775" cy="205105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92632" cy="206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7EDA1">
      <w:pPr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DD8CFB5">
      <w:pPr>
        <w:pStyle w:val="2"/>
        <w:rPr>
          <w:rFonts w:hint="eastAsia" w:eastAsia="黑体"/>
          <w:lang w:eastAsia="zh-CN"/>
        </w:rPr>
      </w:pPr>
      <w:bookmarkStart w:id="54" w:name="_Toc97643669"/>
      <w:r>
        <w:rPr>
          <w:rFonts w:hint="eastAsia" w:ascii="Times New Roman" w:hAnsi="Calibri" w:eastAsia="黑体" w:cs="Times New Roman"/>
          <w:b/>
          <w:bCs/>
          <w:kern w:val="44"/>
          <w:sz w:val="32"/>
          <w:szCs w:val="44"/>
          <w:lang w:val="en-US" w:eastAsia="zh-CN" w:bidi="ar-SA"/>
        </w:rPr>
        <w:t>V. Факторы, влияющие на точность</w:t>
      </w:r>
      <w:bookmarkEnd w:id="54"/>
    </w:p>
    <w:p w14:paraId="22F2271D">
      <w:pPr>
        <w:ind w:firstLine="420" w:firstLineChars="200"/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>При высокой температуре или сильном ветре диффузия газа происходит быстрее. Соответственно, при минимальных объёмах утечки выходящий газ не может эффективно удерживаться, что может привести к значительным отклонениям значений обнаружения.</w:t>
      </w:r>
    </w:p>
    <w:p w14:paraId="133D2A01">
      <w:pPr>
        <w:pStyle w:val="2"/>
        <w:rPr>
          <w:rFonts w:hint="eastAsia" w:eastAsia="黑体"/>
          <w:lang w:eastAsia="zh-CN"/>
        </w:rPr>
      </w:pPr>
      <w:bookmarkStart w:id="55" w:name="_Toc97643670"/>
      <w:bookmarkStart w:id="56" w:name="_Toc462756374"/>
      <w:r>
        <w:rPr>
          <w:rFonts w:hint="eastAsia" w:ascii="Times New Roman" w:hAnsi="Calibri" w:eastAsia="黑体" w:cs="Times New Roman"/>
          <w:b/>
          <w:bCs/>
          <w:kern w:val="44"/>
          <w:sz w:val="32"/>
          <w:szCs w:val="44"/>
          <w:lang w:val="en-US" w:eastAsia="zh-CN" w:bidi="ar-SA"/>
        </w:rPr>
        <w:t>VI. Устранение типичных неисправностей</w:t>
      </w:r>
      <w:bookmarkEnd w:id="55"/>
      <w:bookmarkEnd w:id="56"/>
    </w:p>
    <w:tbl>
      <w:tblPr>
        <w:tblStyle w:val="28"/>
        <w:tblW w:w="719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438"/>
        <w:gridCol w:w="3209"/>
      </w:tblGrid>
      <w:tr w14:paraId="5EBF79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548" w:type="dxa"/>
          </w:tcPr>
          <w:p w14:paraId="41E3E134"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проблема</w:t>
            </w:r>
          </w:p>
        </w:tc>
        <w:tc>
          <w:tcPr>
            <w:tcW w:w="2438" w:type="dxa"/>
          </w:tcPr>
          <w:p w14:paraId="1E232865"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вероятная причина</w:t>
            </w:r>
          </w:p>
        </w:tc>
        <w:tc>
          <w:tcPr>
            <w:tcW w:w="3209" w:type="dxa"/>
          </w:tcPr>
          <w:p w14:paraId="065148C7"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способ устранения</w:t>
            </w:r>
          </w:p>
        </w:tc>
      </w:tr>
      <w:tr w14:paraId="41A225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48" w:type="dxa"/>
          </w:tcPr>
          <w:p w14:paraId="421E8B49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Прибор не работает</w:t>
            </w:r>
          </w:p>
        </w:tc>
        <w:tc>
          <w:tcPr>
            <w:tcW w:w="2438" w:type="dxa"/>
          </w:tcPr>
          <w:p w14:paraId="6DDF8730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Выключатель питания не включён</w:t>
            </w:r>
          </w:p>
        </w:tc>
        <w:tc>
          <w:tcPr>
            <w:tcW w:w="3209" w:type="dxa"/>
          </w:tcPr>
          <w:p w14:paraId="7F26A241">
            <w:pPr>
              <w:tabs>
                <w:tab w:val="left" w:pos="420"/>
              </w:tabs>
              <w:ind w:left="42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Включите электропитание прибора</w:t>
            </w:r>
          </w:p>
        </w:tc>
      </w:tr>
      <w:tr w14:paraId="55FDE5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48" w:type="dxa"/>
            <w:vMerge w:val="restart"/>
          </w:tcPr>
          <w:p w14:paraId="6F783E8C">
            <w:pPr>
              <w:ind w:left="630" w:hanging="630" w:hangingChars="30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Приём на терминале пользователя</w:t>
            </w:r>
          </w:p>
          <w:p w14:paraId="66E28244">
            <w:pPr>
              <w:ind w:left="630" w:hanging="630" w:hangingChars="30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Данные недоступны</w:t>
            </w:r>
          </w:p>
        </w:tc>
        <w:tc>
          <w:tcPr>
            <w:tcW w:w="2438" w:type="dxa"/>
          </w:tcPr>
          <w:p w14:paraId="2AE7F3D8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Сильное загрязнение зеркала окна</w:t>
            </w:r>
          </w:p>
        </w:tc>
        <w:tc>
          <w:tcPr>
            <w:tcW w:w="3209" w:type="dxa"/>
          </w:tcPr>
          <w:p w14:paraId="6597B9A7">
            <w:pPr>
              <w:tabs>
                <w:tab w:val="left" w:pos="420"/>
              </w:tabs>
              <w:ind w:left="42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Протрите зеркальную поверхность чистой мягкой тканью.</w:t>
            </w:r>
          </w:p>
        </w:tc>
      </w:tr>
      <w:tr w14:paraId="289E2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48" w:type="dxa"/>
            <w:vMerge w:val="continue"/>
          </w:tcPr>
          <w:p w14:paraId="4FF5F033">
            <w:pPr>
              <w:ind w:left="630" w:hanging="630" w:hangingChars="300"/>
              <w:rPr>
                <w:rFonts w:ascii="仿宋" w:hAnsi="仿宋" w:eastAsia="仿宋" w:cs="仿宋"/>
              </w:rPr>
            </w:pPr>
          </w:p>
        </w:tc>
        <w:tc>
          <w:tcPr>
            <w:tcW w:w="2438" w:type="dxa"/>
          </w:tcPr>
          <w:p w14:paraId="41E25983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Прерывание передачи данных</w:t>
            </w:r>
          </w:p>
        </w:tc>
        <w:tc>
          <w:tcPr>
            <w:tcW w:w="3209" w:type="dxa"/>
          </w:tcPr>
          <w:p w14:paraId="031E7F17">
            <w:pPr>
              <w:tabs>
                <w:tab w:val="left" w:pos="420"/>
              </w:tabs>
              <w:ind w:left="42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Проверьте, успешно ли установлено соединение передачи данных</w:t>
            </w:r>
          </w:p>
        </w:tc>
      </w:tr>
    </w:tbl>
    <w:p w14:paraId="02C54CE6">
      <w:pPr>
        <w:pStyle w:val="2"/>
        <w:tabs>
          <w:tab w:val="right" w:pos="8306"/>
        </w:tabs>
        <w:rPr>
          <w:rFonts w:hint="eastAsia" w:eastAsia="黑体"/>
          <w:lang w:eastAsia="zh-CN"/>
        </w:rPr>
      </w:pPr>
      <w:bookmarkStart w:id="57" w:name="_Toc97643671"/>
      <w:bookmarkStart w:id="58" w:name="_Toc462756375"/>
      <w:r>
        <w:rPr>
          <w:rFonts w:hint="eastAsia" w:ascii="Times New Roman" w:hAnsi="Calibri" w:eastAsia="黑体" w:cs="Times New Roman"/>
          <w:b/>
          <w:bCs/>
          <w:kern w:val="44"/>
          <w:sz w:val="32"/>
          <w:szCs w:val="44"/>
          <w:lang w:val="en-US" w:eastAsia="zh-CN" w:bidi="ar-SA"/>
        </w:rPr>
        <w:t>VII. Приложение</w:t>
      </w:r>
      <w:bookmarkEnd w:id="57"/>
      <w:bookmarkEnd w:id="58"/>
      <w:r>
        <w:rPr>
          <w:rFonts w:hint="eastAsia" w:ascii="Times New Roman" w:hAnsi="Calibri" w:eastAsia="黑体" w:cs="Times New Roman"/>
          <w:b/>
          <w:bCs/>
          <w:kern w:val="44"/>
          <w:sz w:val="32"/>
          <w:szCs w:val="44"/>
          <w:lang w:val="en-US" w:eastAsia="zh-CN" w:bidi="ar-SA"/>
        </w:rPr>
        <w:t xml:space="preserve"/>
      </w:r>
      <w:r>
        <w:rPr>
          <w:rFonts w:hint="eastAsia" w:ascii="Times New Roman" w:hAnsi="Calibri" w:eastAsia="黑体" w:cs="Times New Roman"/>
          <w:b/>
          <w:bCs/>
          <w:kern w:val="44"/>
          <w:sz w:val="32"/>
          <w:szCs w:val="44"/>
          <w:lang w:val="en-US" w:eastAsia="zh-CN" w:bidi="ar-SA"/>
        </w:rPr>
        <w:tab/>
      </w:r>
    </w:p>
    <w:p w14:paraId="4D5E359D">
      <w:pPr>
        <w:pStyle w:val="3"/>
        <w:rPr>
          <w:rFonts w:hint="eastAsia" w:eastAsia="黑体"/>
          <w:lang w:eastAsia="zh-CN"/>
        </w:rPr>
      </w:pPr>
      <w:bookmarkStart w:id="59" w:name="_Toc462756376"/>
      <w:bookmarkStart w:id="60" w:name="_Toc97643672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7.1 Ежедневное техническое обслуживание и уход</w:t>
      </w:r>
      <w:bookmarkEnd w:id="59"/>
      <w:bookmarkEnd w:id="60"/>
    </w:p>
    <w:p w14:paraId="0D61D0FB">
      <w:pPr>
        <w:ind w:firstLine="420" w:firstLineChars="200"/>
        <w:rPr>
          <w:rFonts w:hint="eastAsia" w:ascii="仿宋" w:hAnsi="仿宋" w:eastAsia="仿宋" w:cs="仿宋"/>
          <w:lang w:eastAsia="zh-CN"/>
        </w:rPr>
      </w:pPr>
      <w:r>
        <w:rPr>
          <w:rFonts w:hint="eastAsia" w:ascii="Times New Roman" w:hAnsi="仿宋" w:eastAsia="仿宋" w:cs="仿宋"/>
          <w:kern w:val="2"/>
          <w:sz w:val="21"/>
          <w:szCs w:val="22"/>
          <w:lang w:val="en-US" w:eastAsia="zh-CN" w:bidi="ar-SA"/>
        </w:rPr>
        <w:t>Чтобы поддерживать прибор в оптимальном состоянии, выполняйте ежедневное обслуживание следующим образом.</w:t>
      </w:r>
    </w:p>
    <w:p w14:paraId="382C5242">
      <w:pPr>
        <w:rPr>
          <w:rFonts w:ascii="Arial" w:hAnsi="Arial" w:cs="Arial"/>
          <w:color w:val="000000"/>
          <w:sz w:val="18"/>
          <w:szCs w:val="18"/>
        </w:rPr>
      </w:pPr>
    </w:p>
    <w:tbl>
      <w:tblPr>
        <w:tblStyle w:val="28"/>
        <w:tblW w:w="717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6295"/>
      </w:tblGrid>
      <w:tr w14:paraId="45FEB1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80" w:type="dxa"/>
            <w:vMerge w:val="restart"/>
          </w:tcPr>
          <w:p w14:paraId="2C1893FA">
            <w:pPr>
              <w:rPr>
                <w:rFonts w:ascii="仿宋" w:hAnsi="仿宋" w:eastAsia="仿宋" w:cs="仿宋"/>
              </w:rPr>
            </w:pPr>
          </w:p>
          <w:p w14:paraId="08E8E021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зеркальная поверхность</w:t>
            </w:r>
          </w:p>
        </w:tc>
        <w:tc>
          <w:tcPr>
            <w:tcW w:w="6295" w:type="dxa"/>
          </w:tcPr>
          <w:p w14:paraId="2CC2F6A9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Аккуратно протирайте зеркальную поверхность специальной салфеткой или чистой мягкой тканью.</w:t>
            </w:r>
          </w:p>
        </w:tc>
      </w:tr>
      <w:tr w14:paraId="359CD5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80" w:type="dxa"/>
            <w:vMerge w:val="continue"/>
          </w:tcPr>
          <w:p w14:paraId="3BC0AE02">
            <w:pPr>
              <w:rPr>
                <w:rFonts w:ascii="仿宋" w:hAnsi="仿宋" w:eastAsia="仿宋" w:cs="仿宋"/>
              </w:rPr>
            </w:pPr>
          </w:p>
        </w:tc>
        <w:tc>
          <w:tcPr>
            <w:tcW w:w="6295" w:type="dxa"/>
          </w:tcPr>
          <w:p w14:paraId="11666C95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Примечание: не протирайте линзу руками или другой нечистой тканью во избежание повреждения поверхности.</w:t>
            </w:r>
          </w:p>
        </w:tc>
      </w:tr>
    </w:tbl>
    <w:p w14:paraId="43252CA5">
      <w:pPr>
        <w:widowControl/>
        <w:jc w:val="left"/>
        <w:rPr>
          <w:rFonts w:ascii="仿宋" w:hAnsi="仿宋" w:eastAsia="仿宋"/>
          <w:b/>
          <w:szCs w:val="21"/>
        </w:rPr>
      </w:pPr>
    </w:p>
    <w:p w14:paraId="36D17A28">
      <w:pPr>
        <w:widowControl/>
        <w:jc w:val="left"/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br w:type="page"/>
      </w:r>
    </w:p>
    <w:p w14:paraId="5739DD49">
      <w:pPr>
        <w:pStyle w:val="3"/>
        <w:rPr>
          <w:rFonts w:hint="eastAsia" w:eastAsia="黑体"/>
          <w:lang w:eastAsia="zh-CN"/>
        </w:rPr>
      </w:pPr>
      <w:bookmarkStart w:id="61" w:name="_Toc462756377"/>
      <w:bookmarkStart w:id="62" w:name="_Toc97643673"/>
      <w:r>
        <w:rPr>
          <w:rFonts w:hint="eastAsia" w:ascii="Times New Roman" w:eastAsia="黑体" w:hAnsiTheme="majorHAnsi" w:cstheme="majorBidi"/>
          <w:b/>
          <w:bCs/>
          <w:kern w:val="2"/>
          <w:sz w:val="28"/>
          <w:szCs w:val="32"/>
          <w:lang w:val="en-US" w:eastAsia="zh-CN" w:bidi="ar-SA"/>
        </w:rPr>
        <w:t>7.2 Технические характеристики</w:t>
      </w:r>
      <w:bookmarkEnd w:id="61"/>
      <w:bookmarkEnd w:id="62"/>
    </w:p>
    <w:tbl>
      <w:tblPr>
        <w:tblStyle w:val="13"/>
        <w:tblW w:w="7360" w:type="dxa"/>
        <w:jc w:val="center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5585"/>
      </w:tblGrid>
      <w:tr w14:paraId="02A88BB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0" w:type="dxa"/>
            <w:gridSpan w:val="2"/>
            <w:shd w:val="pct10" w:color="auto" w:fill="auto"/>
          </w:tcPr>
          <w:p w14:paraId="2DBC5934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рабочий параметр</w:t>
            </w:r>
          </w:p>
        </w:tc>
      </w:tr>
      <w:tr w14:paraId="567267D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0DE2472F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Виды газов</w:t>
            </w:r>
          </w:p>
        </w:tc>
        <w:tc>
          <w:tcPr>
            <w:tcW w:w="5585" w:type="dxa"/>
          </w:tcPr>
          <w:p w14:paraId="04F26CB7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Метан (CH4)</w:t>
            </w:r>
          </w:p>
        </w:tc>
      </w:tr>
      <w:tr w14:paraId="4B3D457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7921CB5F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метод измерения</w:t>
            </w:r>
          </w:p>
        </w:tc>
        <w:tc>
          <w:tcPr>
            <w:tcW w:w="5585" w:type="dxa"/>
          </w:tcPr>
          <w:p w14:paraId="118990D9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Технология лазерной абсорбционной спектроскопии</w:t>
            </w:r>
          </w:p>
        </w:tc>
      </w:tr>
      <w:tr w14:paraId="3168B5D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787063ED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Диапазон измерений</w:t>
            </w:r>
          </w:p>
        </w:tc>
        <w:tc>
          <w:tcPr>
            <w:tcW w:w="5585" w:type="dxa"/>
          </w:tcPr>
          <w:p w14:paraId="24DC625A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（0～50000）ppm·m</w:t>
            </w:r>
          </w:p>
        </w:tc>
      </w:tr>
      <w:tr w14:paraId="65BCB69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02F7CA66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чувствительность</w:t>
            </w:r>
          </w:p>
        </w:tc>
        <w:tc>
          <w:tcPr>
            <w:tcW w:w="5585" w:type="dxa"/>
          </w:tcPr>
          <w:p w14:paraId="5D096390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5 ppm·m</w:t>
            </w:r>
          </w:p>
        </w:tc>
      </w:tr>
      <w:tr w14:paraId="00E7C69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543EE0D5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Дальность обнаружения</w:t>
            </w:r>
          </w:p>
        </w:tc>
        <w:tc>
          <w:tcPr>
            <w:tcW w:w="5585" w:type="dxa"/>
          </w:tcPr>
          <w:p w14:paraId="4A6FFDCF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(0–100) м</w:t>
            </w:r>
          </w:p>
        </w:tc>
      </w:tr>
      <w:tr w14:paraId="2706CDE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2BEE7D2B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время отклика</w:t>
            </w:r>
          </w:p>
        </w:tc>
        <w:tc>
          <w:tcPr>
            <w:tcW w:w="5585" w:type="dxa"/>
          </w:tcPr>
          <w:p w14:paraId="2FC297E0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0.1 с</w:t>
            </w:r>
          </w:p>
        </w:tc>
      </w:tr>
      <w:tr w14:paraId="5AA2176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2B634D75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Угол горизонтального поворота</w:t>
            </w:r>
          </w:p>
        </w:tc>
        <w:tc>
          <w:tcPr>
            <w:tcW w:w="5585" w:type="dxa"/>
          </w:tcPr>
          <w:p w14:paraId="6F5EFBEF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0°～360°</w:t>
            </w:r>
          </w:p>
        </w:tc>
      </w:tr>
      <w:tr w14:paraId="0C354DD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5C406A09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Угол вертикального поворота</w:t>
            </w:r>
          </w:p>
        </w:tc>
        <w:tc>
          <w:tcPr>
            <w:tcW w:w="5585" w:type="dxa"/>
          </w:tcPr>
          <w:p w14:paraId="5A527155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-90°～90°</w:t>
            </w:r>
          </w:p>
        </w:tc>
      </w:tr>
      <w:tr w14:paraId="05A85AA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2BDE7A93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степень защиты</w:t>
            </w:r>
          </w:p>
        </w:tc>
        <w:tc>
          <w:tcPr>
            <w:tcW w:w="5585" w:type="dxa"/>
          </w:tcPr>
          <w:p w14:paraId="666EAD24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IP68</w:t>
            </w:r>
          </w:p>
        </w:tc>
      </w:tr>
      <w:tr w14:paraId="0FC9D60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404B7E66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Время непрерывной работы</w:t>
            </w:r>
          </w:p>
        </w:tc>
        <w:tc>
          <w:tcPr>
            <w:tcW w:w="5585" w:type="dxa"/>
          </w:tcPr>
          <w:p w14:paraId="099A6883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&gt;25,000 ч</w:t>
            </w:r>
          </w:p>
        </w:tc>
      </w:tr>
      <w:tr w14:paraId="0952C88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0" w:type="dxa"/>
            <w:gridSpan w:val="2"/>
            <w:shd w:val="pct10" w:color="auto" w:fill="auto"/>
          </w:tcPr>
          <w:p w14:paraId="0D19260E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функциональный параметр</w:t>
            </w:r>
          </w:p>
        </w:tc>
      </w:tr>
      <w:tr w14:paraId="3EA4F18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33EC2017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Настройка сигнализации</w:t>
            </w:r>
          </w:p>
        </w:tc>
        <w:tc>
          <w:tcPr>
            <w:tcW w:w="5585" w:type="dxa"/>
          </w:tcPr>
          <w:p w14:paraId="1AE54DC1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Можно задать предупредительный и аварийный пороги</w:t>
            </w:r>
          </w:p>
        </w:tc>
      </w:tr>
      <w:tr w14:paraId="4A96915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2E70F58F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Способ вывода</w:t>
            </w:r>
          </w:p>
        </w:tc>
        <w:tc>
          <w:tcPr>
            <w:tcW w:w="5585" w:type="dxa"/>
          </w:tcPr>
          <w:p w14:paraId="44A4662C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RS485</w:t>
            </w:r>
          </w:p>
        </w:tc>
      </w:tr>
      <w:tr w14:paraId="599B06D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42A22B3B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Калибровка</w:t>
            </w:r>
          </w:p>
        </w:tc>
        <w:tc>
          <w:tcPr>
            <w:tcW w:w="5585" w:type="dxa"/>
          </w:tcPr>
          <w:p w14:paraId="2901B9EB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Откалиброван на заводе</w:t>
            </w:r>
          </w:p>
        </w:tc>
      </w:tr>
      <w:tr w14:paraId="02CE7D3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5CCCBA44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калибровку</w:t>
            </w:r>
          </w:p>
        </w:tc>
        <w:tc>
          <w:tcPr>
            <w:tcW w:w="5585" w:type="dxa"/>
          </w:tcPr>
          <w:p w14:paraId="1F46E9F1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автоматическая калибровка</w:t>
            </w:r>
          </w:p>
        </w:tc>
      </w:tr>
      <w:tr w14:paraId="1DF54D7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0" w:type="dxa"/>
            <w:gridSpan w:val="2"/>
            <w:shd w:val="pct10" w:color="auto" w:fill="auto"/>
          </w:tcPr>
          <w:p w14:paraId="09B2A0E8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Параметры внешнего вида</w:t>
            </w:r>
          </w:p>
        </w:tc>
      </w:tr>
      <w:tr w14:paraId="07F836D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59DAF0BF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Размер изделия</w:t>
            </w:r>
          </w:p>
        </w:tc>
        <w:tc>
          <w:tcPr>
            <w:tcW w:w="5585" w:type="dxa"/>
          </w:tcPr>
          <w:p w14:paraId="70E13061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Длина×Ширина×Высота: 465×295×420</w:t>
            </w:r>
          </w:p>
        </w:tc>
      </w:tr>
      <w:tr w14:paraId="24343FA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2C6A1C64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Масса изделия нетто</w:t>
            </w:r>
          </w:p>
        </w:tc>
        <w:tc>
          <w:tcPr>
            <w:tcW w:w="5585" w:type="dxa"/>
          </w:tcPr>
          <w:p w14:paraId="3F53050A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30±0.5 кг</w:t>
            </w:r>
          </w:p>
        </w:tc>
      </w:tr>
      <w:tr w14:paraId="00783DE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775" w:type="dxa"/>
          </w:tcPr>
          <w:p w14:paraId="56E7DB05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Способ электропитания</w:t>
            </w:r>
          </w:p>
        </w:tc>
        <w:tc>
          <w:tcPr>
            <w:tcW w:w="5585" w:type="dxa"/>
          </w:tcPr>
          <w:p w14:paraId="19310295">
            <w:pPr>
              <w:rPr>
                <w:rFonts w:hint="eastAsia" w:ascii="仿宋" w:hAnsi="仿宋" w:eastAsia="仿宋" w:cs="仿宋"/>
                <w:b/>
                <w:lang w:eastAsia="zh-CN"/>
              </w:rPr>
            </w:pPr>
            <w:r>
              <w:rPr>
                <w:rFonts w:hint="eastAsia" w:ascii="Times New Roman" w:hAnsi="仿宋" w:eastAsia="仿宋" w:cs="仿宋"/>
                <w:b/>
                <w:kern w:val="2"/>
                <w:sz w:val="21"/>
                <w:szCs w:val="22"/>
                <w:lang w:val="en-US" w:eastAsia="zh-CN" w:bidi="ar-SA"/>
              </w:rPr>
              <w:t>AC 220В</w:t>
            </w:r>
          </w:p>
        </w:tc>
      </w:tr>
      <w:tr w14:paraId="6B9605C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7DF35CD1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Знак взрывозащиты</w:t>
            </w:r>
          </w:p>
        </w:tc>
        <w:tc>
          <w:tcPr>
            <w:tcW w:w="5585" w:type="dxa"/>
          </w:tcPr>
          <w:p w14:paraId="736F4A4F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Ex db IIC T6 Gb / Ex tb IIIC T80℃ Db</w:t>
            </w:r>
          </w:p>
        </w:tc>
      </w:tr>
      <w:tr w14:paraId="3BF392D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  <w:tcBorders>
              <w:bottom w:val="single" w:color="000000" w:sz="4" w:space="0"/>
            </w:tcBorders>
          </w:tcPr>
          <w:p w14:paraId="6C428EBF">
            <w:pPr>
              <w:rPr>
                <w:rFonts w:ascii="仿宋" w:hAnsi="仿宋" w:eastAsia="仿宋" w:cs="仿宋"/>
              </w:rPr>
            </w:pPr>
          </w:p>
        </w:tc>
        <w:tc>
          <w:tcPr>
            <w:tcW w:w="5585" w:type="dxa"/>
            <w:tcBorders>
              <w:bottom w:val="single" w:color="000000" w:sz="4" w:space="0"/>
            </w:tcBorders>
          </w:tcPr>
          <w:p w14:paraId="4A635896">
            <w:pPr>
              <w:rPr>
                <w:rFonts w:ascii="仿宋" w:hAnsi="仿宋" w:eastAsia="仿宋" w:cs="仿宋"/>
              </w:rPr>
            </w:pPr>
          </w:p>
        </w:tc>
      </w:tr>
      <w:tr w14:paraId="3BF0972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0" w:type="dxa"/>
            <w:gridSpan w:val="2"/>
            <w:shd w:val="clear" w:color="auto" w:fill="E6E6E6"/>
          </w:tcPr>
          <w:p w14:paraId="7916E123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Электрические параметры оптико-механической конструкции</w:t>
            </w:r>
          </w:p>
        </w:tc>
      </w:tr>
      <w:tr w14:paraId="2C31A77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6C6F8D41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Номинальное напряжение</w:t>
            </w:r>
          </w:p>
        </w:tc>
        <w:tc>
          <w:tcPr>
            <w:tcW w:w="5585" w:type="dxa"/>
          </w:tcPr>
          <w:p w14:paraId="75C8DA88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5В</w:t>
            </w:r>
          </w:p>
        </w:tc>
      </w:tr>
      <w:tr w14:paraId="2EEF2FE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278F5B6A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Номинальный ток</w:t>
            </w:r>
          </w:p>
        </w:tc>
        <w:tc>
          <w:tcPr>
            <w:tcW w:w="5585" w:type="dxa"/>
          </w:tcPr>
          <w:p w14:paraId="1CA739DC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0.8А</w:t>
            </w:r>
          </w:p>
        </w:tc>
      </w:tr>
      <w:tr w14:paraId="0FBC10B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1775" w:type="dxa"/>
          </w:tcPr>
          <w:p w14:paraId="22FD1DE4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Номинальная мощность</w:t>
            </w:r>
          </w:p>
        </w:tc>
        <w:tc>
          <w:tcPr>
            <w:tcW w:w="5585" w:type="dxa"/>
          </w:tcPr>
          <w:p w14:paraId="10101B41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4Вт</w:t>
            </w:r>
          </w:p>
        </w:tc>
      </w:tr>
      <w:tr w14:paraId="5310931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34276005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Максимальное количество шлейфов</w:t>
            </w:r>
          </w:p>
        </w:tc>
        <w:tc>
          <w:tcPr>
            <w:tcW w:w="5585" w:type="dxa"/>
          </w:tcPr>
          <w:p w14:paraId="4EC4B3D5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12</w:t>
            </w:r>
          </w:p>
        </w:tc>
      </w:tr>
      <w:tr w14:paraId="0FDA0F7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68DF5B57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Максимальный суммарный ток коммутации</w:t>
            </w:r>
          </w:p>
        </w:tc>
        <w:tc>
          <w:tcPr>
            <w:tcW w:w="5585" w:type="dxa"/>
          </w:tcPr>
          <w:p w14:paraId="49124CCF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0.8А</w:t>
            </w:r>
          </w:p>
        </w:tc>
      </w:tr>
      <w:tr w14:paraId="5C717AC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10DB8C4E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Максимальный ток шлейфа</w:t>
            </w:r>
          </w:p>
        </w:tc>
        <w:tc>
          <w:tcPr>
            <w:tcW w:w="5585" w:type="dxa"/>
          </w:tcPr>
          <w:p w14:paraId="0F9F9A31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0.8А</w:t>
            </w:r>
          </w:p>
        </w:tc>
      </w:tr>
      <w:tr w14:paraId="7768C96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19FB8245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мощность лазера</w:t>
            </w:r>
          </w:p>
        </w:tc>
        <w:tc>
          <w:tcPr>
            <w:tcW w:w="5585" w:type="dxa"/>
          </w:tcPr>
          <w:p w14:paraId="3061CC6F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≤10мВт</w:t>
            </w:r>
          </w:p>
        </w:tc>
      </w:tr>
      <w:tr w14:paraId="25B973B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0" w:type="dxa"/>
            <w:gridSpan w:val="2"/>
            <w:shd w:val="pct10" w:color="auto" w:fill="auto"/>
          </w:tcPr>
          <w:p w14:paraId="32E0D143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Условия эксплуатации и комплектация</w:t>
            </w:r>
          </w:p>
        </w:tc>
      </w:tr>
      <w:tr w14:paraId="6AD8749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6648A0D8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Температура окружающей среды</w:t>
            </w:r>
          </w:p>
        </w:tc>
        <w:tc>
          <w:tcPr>
            <w:tcW w:w="5585" w:type="dxa"/>
          </w:tcPr>
          <w:p w14:paraId="7891455A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（-20～+50）℃</w:t>
            </w:r>
          </w:p>
        </w:tc>
      </w:tr>
      <w:tr w14:paraId="088BA60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63C2A20A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Влажность окружающей среды</w:t>
            </w:r>
          </w:p>
        </w:tc>
        <w:tc>
          <w:tcPr>
            <w:tcW w:w="5585" w:type="dxa"/>
          </w:tcPr>
          <w:p w14:paraId="71F43900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(0–95)% RH, без конденсации</w:t>
            </w:r>
          </w:p>
        </w:tc>
      </w:tr>
      <w:tr w14:paraId="50B8DEC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5" w:type="dxa"/>
          </w:tcPr>
          <w:p w14:paraId="13774A85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Атмосферное давление</w:t>
            </w:r>
          </w:p>
        </w:tc>
        <w:tc>
          <w:tcPr>
            <w:tcW w:w="5585" w:type="dxa"/>
          </w:tcPr>
          <w:p w14:paraId="5CC56F4A"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Times New Roman" w:hAnsi="仿宋" w:eastAsia="仿宋" w:cs="仿宋"/>
                <w:kern w:val="2"/>
                <w:sz w:val="21"/>
                <w:szCs w:val="22"/>
                <w:lang w:val="en-US" w:eastAsia="zh-CN" w:bidi="ar-SA"/>
              </w:rPr>
              <w:t>70 кПа ～ 106 кПа</w:t>
            </w:r>
          </w:p>
        </w:tc>
      </w:tr>
    </w:tbl>
    <w:p w14:paraId="2502B661">
      <w:pPr>
        <w:widowControl/>
        <w:jc w:val="left"/>
        <w:rPr>
          <w:rFonts w:ascii="仿宋" w:hAnsi="仿宋" w:eastAsia="仿宋" w:cs="仿宋"/>
          <w:sz w:val="28"/>
          <w:szCs w:val="28"/>
        </w:rPr>
      </w:pPr>
    </w:p>
    <w:p w14:paraId="17176E23">
      <w:pPr>
        <w:widowControl/>
        <w:jc w:val="left"/>
        <w:rPr>
          <w:rFonts w:ascii="黑体" w:hAnsi="黑体" w:eastAsia="黑体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18070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13B5124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Calibri" w:eastAsia="宋体" w:cs="Times New Roman"/>
                              <w:kern w:val="2"/>
                              <w:sz w:val="18"/>
                              <w:szCs w:val="22"/>
                              <w:lang w:val="en-US" w:eastAsia="zh-CN" w:bidi="ar-SA"/>
                            </w:rPr>
                            <w:t>18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ql5uc8AAAAFAQAADwAAAAAAAAABACAAAAAiAAAAZHJzL2Rvd25y&#10;ZXYueG1sUEsBAhQAFAAAAAgAh07iQN2B5q3OAQAAqAMAAA4AAAAAAAAAAQAgAAAAHg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3B5124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Times New Roman" w:hAnsi="Calibri" w:eastAsia="宋体" w:cs="Times New Roman"/>
                        <w:kern w:val="2"/>
                        <w:sz w:val="18"/>
                        <w:szCs w:val="22"/>
                        <w:lang w:val="en-US" w:eastAsia="zh-CN" w:bidi="ar-SA"/>
                      </w:rPr>
                      <w:t>18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73ADA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ZTU1YjUzMzJhNjFkZmMyOTFkZDc3NmQwZDY2NzYifQ=="/>
  </w:docVars>
  <w:rsids>
    <w:rsidRoot w:val="007474B0"/>
    <w:rsid w:val="00025448"/>
    <w:rsid w:val="00030F7D"/>
    <w:rsid w:val="000427AC"/>
    <w:rsid w:val="0005622D"/>
    <w:rsid w:val="00064787"/>
    <w:rsid w:val="00070AFF"/>
    <w:rsid w:val="000762DB"/>
    <w:rsid w:val="00082ED1"/>
    <w:rsid w:val="000A4077"/>
    <w:rsid w:val="000D2231"/>
    <w:rsid w:val="000D61B1"/>
    <w:rsid w:val="000E15EC"/>
    <w:rsid w:val="000E7BF8"/>
    <w:rsid w:val="000F73A5"/>
    <w:rsid w:val="00107959"/>
    <w:rsid w:val="00110FA4"/>
    <w:rsid w:val="00113D30"/>
    <w:rsid w:val="0014522B"/>
    <w:rsid w:val="001C4A60"/>
    <w:rsid w:val="001C77D3"/>
    <w:rsid w:val="001F233C"/>
    <w:rsid w:val="00201630"/>
    <w:rsid w:val="00203FF6"/>
    <w:rsid w:val="00207325"/>
    <w:rsid w:val="00214760"/>
    <w:rsid w:val="00214B25"/>
    <w:rsid w:val="002302F1"/>
    <w:rsid w:val="002313A6"/>
    <w:rsid w:val="002452C7"/>
    <w:rsid w:val="002708A4"/>
    <w:rsid w:val="00270B59"/>
    <w:rsid w:val="002813C7"/>
    <w:rsid w:val="002A3E89"/>
    <w:rsid w:val="002B1281"/>
    <w:rsid w:val="002B661C"/>
    <w:rsid w:val="002C13EF"/>
    <w:rsid w:val="002C1C79"/>
    <w:rsid w:val="002C63D4"/>
    <w:rsid w:val="002C78A5"/>
    <w:rsid w:val="002D26DB"/>
    <w:rsid w:val="002F5A9E"/>
    <w:rsid w:val="00303C3B"/>
    <w:rsid w:val="003168F1"/>
    <w:rsid w:val="00325762"/>
    <w:rsid w:val="003275F9"/>
    <w:rsid w:val="00341797"/>
    <w:rsid w:val="00373394"/>
    <w:rsid w:val="0038507E"/>
    <w:rsid w:val="00396D7B"/>
    <w:rsid w:val="003A7D58"/>
    <w:rsid w:val="003C6146"/>
    <w:rsid w:val="003E05E9"/>
    <w:rsid w:val="003E1741"/>
    <w:rsid w:val="003E657E"/>
    <w:rsid w:val="003E672A"/>
    <w:rsid w:val="004169D0"/>
    <w:rsid w:val="00423250"/>
    <w:rsid w:val="004315FE"/>
    <w:rsid w:val="004408BA"/>
    <w:rsid w:val="0045636D"/>
    <w:rsid w:val="00476661"/>
    <w:rsid w:val="004862D8"/>
    <w:rsid w:val="00491BCD"/>
    <w:rsid w:val="004B0387"/>
    <w:rsid w:val="004B5C40"/>
    <w:rsid w:val="004E6B9D"/>
    <w:rsid w:val="004F2133"/>
    <w:rsid w:val="00532375"/>
    <w:rsid w:val="0053467D"/>
    <w:rsid w:val="00541F48"/>
    <w:rsid w:val="00551BCA"/>
    <w:rsid w:val="0055251C"/>
    <w:rsid w:val="00564366"/>
    <w:rsid w:val="0057320D"/>
    <w:rsid w:val="0057464F"/>
    <w:rsid w:val="00576B38"/>
    <w:rsid w:val="005850B2"/>
    <w:rsid w:val="0058510F"/>
    <w:rsid w:val="00585C37"/>
    <w:rsid w:val="00595016"/>
    <w:rsid w:val="005A08BE"/>
    <w:rsid w:val="005A2B2E"/>
    <w:rsid w:val="005A2C3D"/>
    <w:rsid w:val="005A518D"/>
    <w:rsid w:val="005B073D"/>
    <w:rsid w:val="005B27D5"/>
    <w:rsid w:val="005C2BCC"/>
    <w:rsid w:val="005D612F"/>
    <w:rsid w:val="005E200B"/>
    <w:rsid w:val="00607747"/>
    <w:rsid w:val="00607F8E"/>
    <w:rsid w:val="0061022A"/>
    <w:rsid w:val="00624280"/>
    <w:rsid w:val="00633369"/>
    <w:rsid w:val="0065517D"/>
    <w:rsid w:val="006850F1"/>
    <w:rsid w:val="00686863"/>
    <w:rsid w:val="00690773"/>
    <w:rsid w:val="0069719C"/>
    <w:rsid w:val="006A4A7F"/>
    <w:rsid w:val="006B630C"/>
    <w:rsid w:val="006D6FD5"/>
    <w:rsid w:val="006D7D61"/>
    <w:rsid w:val="006E2535"/>
    <w:rsid w:val="006F4F7D"/>
    <w:rsid w:val="006F572F"/>
    <w:rsid w:val="007474B0"/>
    <w:rsid w:val="00777CE8"/>
    <w:rsid w:val="00792F94"/>
    <w:rsid w:val="007A2A49"/>
    <w:rsid w:val="007D25FD"/>
    <w:rsid w:val="007E1EC0"/>
    <w:rsid w:val="007E5E7A"/>
    <w:rsid w:val="008024FE"/>
    <w:rsid w:val="008066DC"/>
    <w:rsid w:val="008067FC"/>
    <w:rsid w:val="00816E0A"/>
    <w:rsid w:val="00823BEE"/>
    <w:rsid w:val="00830265"/>
    <w:rsid w:val="00836965"/>
    <w:rsid w:val="0084330E"/>
    <w:rsid w:val="00847FFE"/>
    <w:rsid w:val="008522EC"/>
    <w:rsid w:val="00867C38"/>
    <w:rsid w:val="0087585C"/>
    <w:rsid w:val="00881232"/>
    <w:rsid w:val="008B5D0A"/>
    <w:rsid w:val="008C04DD"/>
    <w:rsid w:val="008D1650"/>
    <w:rsid w:val="008D53AD"/>
    <w:rsid w:val="008F2829"/>
    <w:rsid w:val="008F35FB"/>
    <w:rsid w:val="008F362F"/>
    <w:rsid w:val="0090400D"/>
    <w:rsid w:val="009113F0"/>
    <w:rsid w:val="00911D8B"/>
    <w:rsid w:val="00922663"/>
    <w:rsid w:val="0092555A"/>
    <w:rsid w:val="00927162"/>
    <w:rsid w:val="00932ABA"/>
    <w:rsid w:val="0093631E"/>
    <w:rsid w:val="00937B5E"/>
    <w:rsid w:val="00941961"/>
    <w:rsid w:val="00944950"/>
    <w:rsid w:val="00945C22"/>
    <w:rsid w:val="009521C0"/>
    <w:rsid w:val="009B65F7"/>
    <w:rsid w:val="009B74CB"/>
    <w:rsid w:val="009C4563"/>
    <w:rsid w:val="009F4F80"/>
    <w:rsid w:val="00A12027"/>
    <w:rsid w:val="00A2630F"/>
    <w:rsid w:val="00A512A1"/>
    <w:rsid w:val="00A52282"/>
    <w:rsid w:val="00A9301C"/>
    <w:rsid w:val="00AA160F"/>
    <w:rsid w:val="00AA493D"/>
    <w:rsid w:val="00AC0961"/>
    <w:rsid w:val="00AD218E"/>
    <w:rsid w:val="00AE303F"/>
    <w:rsid w:val="00AE55F8"/>
    <w:rsid w:val="00AF1157"/>
    <w:rsid w:val="00B13E59"/>
    <w:rsid w:val="00B20D22"/>
    <w:rsid w:val="00B26B4E"/>
    <w:rsid w:val="00B460C7"/>
    <w:rsid w:val="00B554B1"/>
    <w:rsid w:val="00B84105"/>
    <w:rsid w:val="00B9687F"/>
    <w:rsid w:val="00BB391A"/>
    <w:rsid w:val="00BD2581"/>
    <w:rsid w:val="00BD7D80"/>
    <w:rsid w:val="00BE07C2"/>
    <w:rsid w:val="00BE70F4"/>
    <w:rsid w:val="00BF48B2"/>
    <w:rsid w:val="00C00867"/>
    <w:rsid w:val="00C045C3"/>
    <w:rsid w:val="00C0708E"/>
    <w:rsid w:val="00C07795"/>
    <w:rsid w:val="00C22356"/>
    <w:rsid w:val="00C32472"/>
    <w:rsid w:val="00C36DCF"/>
    <w:rsid w:val="00C411C5"/>
    <w:rsid w:val="00C65239"/>
    <w:rsid w:val="00C677E5"/>
    <w:rsid w:val="00C70F18"/>
    <w:rsid w:val="00C87E1F"/>
    <w:rsid w:val="00CA1027"/>
    <w:rsid w:val="00CA1C9E"/>
    <w:rsid w:val="00CA3E1B"/>
    <w:rsid w:val="00CB54AB"/>
    <w:rsid w:val="00CD1FDD"/>
    <w:rsid w:val="00CD47A7"/>
    <w:rsid w:val="00CE5EAE"/>
    <w:rsid w:val="00CF10CF"/>
    <w:rsid w:val="00D04607"/>
    <w:rsid w:val="00D34470"/>
    <w:rsid w:val="00D426FA"/>
    <w:rsid w:val="00D51FB2"/>
    <w:rsid w:val="00D5201F"/>
    <w:rsid w:val="00D60372"/>
    <w:rsid w:val="00D615FE"/>
    <w:rsid w:val="00D67820"/>
    <w:rsid w:val="00D72311"/>
    <w:rsid w:val="00DA5A8E"/>
    <w:rsid w:val="00DB4EAF"/>
    <w:rsid w:val="00DE1848"/>
    <w:rsid w:val="00E02FF8"/>
    <w:rsid w:val="00E12759"/>
    <w:rsid w:val="00E2696B"/>
    <w:rsid w:val="00E3030F"/>
    <w:rsid w:val="00E45946"/>
    <w:rsid w:val="00E55942"/>
    <w:rsid w:val="00E7016B"/>
    <w:rsid w:val="00E728F9"/>
    <w:rsid w:val="00E73658"/>
    <w:rsid w:val="00E757D3"/>
    <w:rsid w:val="00E901FC"/>
    <w:rsid w:val="00EA3B86"/>
    <w:rsid w:val="00EA7F23"/>
    <w:rsid w:val="00EB3D2B"/>
    <w:rsid w:val="00EC0281"/>
    <w:rsid w:val="00ED4852"/>
    <w:rsid w:val="00EE278B"/>
    <w:rsid w:val="00EE6FE3"/>
    <w:rsid w:val="00EF1FEF"/>
    <w:rsid w:val="00EF2468"/>
    <w:rsid w:val="00F07DED"/>
    <w:rsid w:val="00F14754"/>
    <w:rsid w:val="00F14F8D"/>
    <w:rsid w:val="00F44442"/>
    <w:rsid w:val="00F50D74"/>
    <w:rsid w:val="00F5483F"/>
    <w:rsid w:val="00F56074"/>
    <w:rsid w:val="00F716E0"/>
    <w:rsid w:val="00F91756"/>
    <w:rsid w:val="00FB7A39"/>
    <w:rsid w:val="00FC5F1F"/>
    <w:rsid w:val="00FD057F"/>
    <w:rsid w:val="00FD127E"/>
    <w:rsid w:val="00FE102C"/>
    <w:rsid w:val="08632D42"/>
    <w:rsid w:val="0F313C17"/>
    <w:rsid w:val="24324C0B"/>
    <w:rsid w:val="27FD3A2C"/>
    <w:rsid w:val="378F685E"/>
    <w:rsid w:val="3FBB8D0C"/>
    <w:rsid w:val="43141283"/>
    <w:rsid w:val="4E01544B"/>
    <w:rsid w:val="65C15121"/>
    <w:rsid w:val="674D66CA"/>
    <w:rsid w:val="67F75737"/>
    <w:rsid w:val="682208D8"/>
    <w:rsid w:val="7B64AC23"/>
    <w:rsid w:val="7DFF8101"/>
    <w:rsid w:val="7F816994"/>
    <w:rsid w:val="DBF579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eastAsia="黑体"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link w:val="22"/>
    <w:qFormat/>
    <w:uiPriority w:val="0"/>
    <w:pPr>
      <w:keepNext/>
      <w:keepLines/>
      <w:spacing w:before="260" w:after="260" w:line="416" w:lineRule="auto"/>
      <w:outlineLvl w:val="2"/>
    </w:pPr>
    <w:rPr>
      <w:rFonts w:eastAsia="黑体"/>
      <w:b/>
      <w:bCs/>
      <w:szCs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6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toc 2"/>
    <w:basedOn w:val="1"/>
    <w:next w:val="1"/>
    <w:qFormat/>
    <w:uiPriority w:val="39"/>
    <w:pPr>
      <w:ind w:left="420" w:leftChars="200"/>
    </w:p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99"/>
    <w:rPr>
      <w:color w:val="0000FF"/>
      <w:u w:val="single"/>
    </w:rPr>
  </w:style>
  <w:style w:type="character" w:customStyle="1" w:styleId="17">
    <w:name w:val="页脚 Char"/>
    <w:basedOn w:val="14"/>
    <w:qFormat/>
    <w:uiPriority w:val="99"/>
    <w:rPr>
      <w:rFonts w:ascii="Calibri" w:hAnsi="Calibri"/>
      <w:sz w:val="18"/>
      <w:szCs w:val="18"/>
    </w:rPr>
  </w:style>
  <w:style w:type="character" w:customStyle="1" w:styleId="18">
    <w:name w:val="页眉 Char"/>
    <w:basedOn w:val="14"/>
    <w:link w:val="9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9">
    <w:name w:val="页脚 Char1"/>
    <w:basedOn w:val="14"/>
    <w:link w:val="8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4"/>
    <w:link w:val="7"/>
    <w:semiHidden/>
    <w:qFormat/>
    <w:uiPriority w:val="99"/>
    <w:rPr>
      <w:sz w:val="18"/>
      <w:szCs w:val="18"/>
    </w:rPr>
  </w:style>
  <w:style w:type="paragraph" w:customStyle="1" w:styleId="21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22">
    <w:name w:val="标题 3 Char"/>
    <w:basedOn w:val="14"/>
    <w:link w:val="4"/>
    <w:qFormat/>
    <w:uiPriority w:val="0"/>
    <w:rPr>
      <w:rFonts w:ascii="Calibri" w:hAnsi="Calibri" w:eastAsia="黑体" w:cs="Times New Roman"/>
      <w:b/>
      <w:bCs/>
      <w:szCs w:val="32"/>
    </w:rPr>
  </w:style>
  <w:style w:type="character" w:customStyle="1" w:styleId="23">
    <w:name w:val="标题 1 Char"/>
    <w:basedOn w:val="14"/>
    <w:link w:val="2"/>
    <w:qFormat/>
    <w:uiPriority w:val="9"/>
    <w:rPr>
      <w:rFonts w:ascii="Calibri" w:hAnsi="Calibri" w:eastAsia="黑体" w:cs="Times New Roman"/>
      <w:b/>
      <w:bCs/>
      <w:kern w:val="44"/>
      <w:sz w:val="32"/>
      <w:szCs w:val="44"/>
    </w:rPr>
  </w:style>
  <w:style w:type="character" w:customStyle="1" w:styleId="24">
    <w:name w:val="标题 2 Char"/>
    <w:basedOn w:val="14"/>
    <w:link w:val="3"/>
    <w:qFormat/>
    <w:uiPriority w:val="9"/>
    <w:rPr>
      <w:rFonts w:eastAsia="黑体" w:asciiTheme="majorHAnsi" w:hAnsiTheme="majorHAnsi" w:cstheme="majorBidi"/>
      <w:b/>
      <w:bCs/>
      <w:sz w:val="28"/>
      <w:szCs w:val="32"/>
    </w:rPr>
  </w:style>
  <w:style w:type="paragraph" w:customStyle="1" w:styleId="25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6">
    <w:name w:val="日期 Char"/>
    <w:basedOn w:val="14"/>
    <w:link w:val="6"/>
    <w:semiHidden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  <w:style w:type="table" w:customStyle="1" w:styleId="28">
    <w:name w:val="Grid Table Light"/>
    <w:basedOn w:val="13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8" Type="http://schemas.openxmlformats.org/officeDocument/2006/relationships/fontTable" Target="fontTable.xml"/><Relationship Id="rId37" Type="http://schemas.openxmlformats.org/officeDocument/2006/relationships/customXml" Target="../customXml/item2.xml"/><Relationship Id="rId36" Type="http://schemas.openxmlformats.org/officeDocument/2006/relationships/customXml" Target="../customXml/item1.xml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FA2BBD-8A9F-43B4-9816-C6EAD7E429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19</Pages>
  <Words>275</Words>
  <Characters>1355</Characters>
  <Lines>26</Lines>
  <Paragraphs>13</Paragraphs>
  <TotalTime>1</TotalTime>
  <ScaleCrop>false</ScaleCrop>
  <LinksUpToDate>false</LinksUpToDate>
  <CharactersWithSpaces>1583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2018-01-26T14:14:00Z</dcterms:created>
  <dc:creator>km</dc:creator>
  <cp:lastModifiedBy>小牛同学</cp:lastModifiedBy>
  <cp:lastPrinted>2017-08-25T14:06:00Z</cp:lastPrinted>
  <dcterms:modified xsi:type="dcterms:W3CDTF">2026-09-15T06:42:44Z</dcterms:modified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9808B1769A2D48618C2F53641BAB3C4C_13</vt:lpwstr>
  </property>
</Properties>
</file>