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23E0E">
      <w:pPr>
        <w:rPr>
          <w:rFonts w:hint="eastAsia" w:ascii="宋体" w:hAnsi="宋体" w:cs="仿宋"/>
        </w:rPr>
      </w:pPr>
      <w:bookmarkStart w:id="68" w:name="_GoBack"/>
      <w:bookmarkEnd w:id="68"/>
    </w:p>
    <w:p w14:paraId="3FF18B17">
      <w:pPr>
        <w:rPr>
          <w:rFonts w:hint="eastAsia" w:ascii="宋体" w:hAnsi="宋体" w:cs="黑体"/>
        </w:rPr>
      </w:pPr>
    </w:p>
    <w:p w14:paraId="233F3AB1">
      <w:pPr>
        <w:rPr>
          <w:rFonts w:hint="eastAsia" w:ascii="宋体" w:hAnsi="宋体" w:cs="黑体"/>
        </w:rPr>
      </w:pPr>
    </w:p>
    <w:p w14:paraId="4A4A26E5">
      <w:pPr>
        <w:rPr>
          <w:rFonts w:hint="eastAsia" w:ascii="宋体" w:hAnsi="宋体" w:cs="黑体"/>
        </w:rPr>
      </w:pPr>
    </w:p>
    <w:p w14:paraId="5DE345FC">
      <w:pPr>
        <w:rPr>
          <w:rFonts w:hint="eastAsia" w:ascii="宋体" w:hAnsi="宋体" w:cs="黑体"/>
        </w:rPr>
      </w:pPr>
    </w:p>
    <w:p w14:paraId="4758D617">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Instrumento de telemetría láser de gas de circuito abierto</w:t>
      </w:r>
    </w:p>
    <w:p w14:paraId="41C0EF22">
      <w:pPr>
        <w:jc w:val="center"/>
        <w:rPr>
          <w:rFonts w:hint="eastAsia" w:ascii="宋体" w:hAnsi="宋体" w:cs="黑体"/>
          <w:sz w:val="44"/>
          <w:szCs w:val="44"/>
          <w:lang w:val="en-US" w:eastAsia="zh-CN"/>
        </w:rPr>
      </w:pPr>
    </w:p>
    <w:p w14:paraId="7E5C127E">
      <w:pPr>
        <w:jc w:val="center"/>
        <w:rPr>
          <w:rFonts w:hint="default" w:ascii="宋体" w:hAnsi="宋体" w:eastAsia="宋体" w:cs="黑体"/>
          <w:sz w:val="44"/>
          <w:szCs w:val="44"/>
          <w:lang w:val="en-US" w:eastAsia="zh-CN"/>
        </w:rPr>
      </w:pPr>
      <w:r>
        <w:rPr>
          <w:rFonts w:hint="default" w:ascii="Times New Roman" w:hAnsi="宋体" w:eastAsia="宋体" w:cs="黑体"/>
          <w:kern w:val="2"/>
          <w:sz w:val="44"/>
          <w:szCs w:val="44"/>
          <w:lang w:val="en-US" w:eastAsia="zh-CN" w:bidi="ar-SA"/>
        </w:rPr>
        <w:t>G6000B</w:t>
      </w:r>
    </w:p>
    <w:p w14:paraId="413E6D7C">
      <w:pPr>
        <w:rPr>
          <w:rFonts w:hint="eastAsia" w:ascii="宋体" w:hAnsi="宋体" w:cs="黑体"/>
        </w:rPr>
      </w:pPr>
    </w:p>
    <w:p w14:paraId="0365FE77">
      <w:pPr>
        <w:rPr>
          <w:rFonts w:hint="eastAsia" w:ascii="宋体" w:hAnsi="宋体" w:cs="黑体"/>
        </w:rPr>
      </w:pPr>
    </w:p>
    <w:p w14:paraId="1BBB35C3">
      <w:pPr>
        <w:jc w:val="center"/>
        <w:rPr>
          <w:rFonts w:hint="default" w:ascii="宋体" w:hAnsi="宋体" w:cs="黑体"/>
          <w:sz w:val="44"/>
          <w:szCs w:val="44"/>
          <w:lang w:val="en-US"/>
        </w:rPr>
      </w:pPr>
      <w:r>
        <w:rPr>
          <w:rFonts w:hint="default" w:ascii="Times New Roman" w:hAnsi="宋体" w:eastAsia="宋体" w:cs="黑体"/>
          <w:kern w:val="2"/>
          <w:sz w:val="44"/>
          <w:szCs w:val="44"/>
          <w:lang w:val="en-US" w:eastAsia="zh-CN" w:bidi="ar-SA"/>
        </w:rPr>
        <w:t>instrucciones de funcionamiento</w:t>
      </w:r>
    </w:p>
    <w:p w14:paraId="6D93FE41">
      <w:pPr>
        <w:rPr>
          <w:rFonts w:ascii="宋体" w:hAnsi="宋体" w:cs="仿宋"/>
        </w:rPr>
      </w:pPr>
    </w:p>
    <w:p w14:paraId="2D960DB9">
      <w:pPr>
        <w:rPr>
          <w:rFonts w:ascii="宋体" w:hAnsi="宋体" w:cs="仿宋"/>
        </w:rPr>
      </w:pPr>
    </w:p>
    <w:p w14:paraId="4EC5D723">
      <w:pPr>
        <w:rPr>
          <w:rFonts w:ascii="宋体" w:hAnsi="宋体" w:cs="仿宋"/>
        </w:rPr>
      </w:pPr>
    </w:p>
    <w:p w14:paraId="58EEBAAF">
      <w:pPr>
        <w:rPr>
          <w:rFonts w:ascii="宋体" w:hAnsi="宋体" w:cs="仿宋"/>
        </w:rPr>
      </w:pPr>
    </w:p>
    <w:p w14:paraId="7A06AFA6">
      <w:pPr>
        <w:rPr>
          <w:rFonts w:ascii="宋体" w:hAnsi="宋体" w:cs="仿宋"/>
        </w:rPr>
      </w:pPr>
    </w:p>
    <w:p w14:paraId="3DB4D8F8">
      <w:pPr>
        <w:rPr>
          <w:rFonts w:ascii="宋体" w:hAnsi="宋体" w:cs="仿宋"/>
        </w:rPr>
      </w:pPr>
      <w:r>
        <w:drawing>
          <wp:anchor distT="0" distB="0" distL="114300" distR="114300" simplePos="0" relativeHeight="251659264" behindDoc="0" locked="0" layoutInCell="1" allowOverlap="1">
            <wp:simplePos x="0" y="0"/>
            <wp:positionH relativeFrom="column">
              <wp:posOffset>614045</wp:posOffset>
            </wp:positionH>
            <wp:positionV relativeFrom="paragraph">
              <wp:posOffset>38100</wp:posOffset>
            </wp:positionV>
            <wp:extent cx="3363595" cy="1299210"/>
            <wp:effectExtent l="0" t="0" r="14605" b="21590"/>
            <wp:wrapNone/>
            <wp:docPr id="1" name="图片 42"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2" descr="BEY43966{[37KV4UA@ZQ(_Q"/>
                    <pic:cNvPicPr>
                      <a:picLocks noChangeAspect="1"/>
                    </pic:cNvPicPr>
                  </pic:nvPicPr>
                  <pic:blipFill>
                    <a:blip r:embed="rId8"/>
                    <a:srcRect t="40907" b="20334"/>
                    <a:stretch>
                      <a:fillRect/>
                    </a:stretch>
                  </pic:blipFill>
                  <pic:spPr>
                    <a:xfrm>
                      <a:off x="0" y="0"/>
                      <a:ext cx="3363595" cy="1299210"/>
                    </a:xfrm>
                    <a:prstGeom prst="rect">
                      <a:avLst/>
                    </a:prstGeom>
                    <a:noFill/>
                    <a:ln>
                      <a:noFill/>
                    </a:ln>
                  </pic:spPr>
                </pic:pic>
              </a:graphicData>
            </a:graphic>
          </wp:anchor>
        </w:drawing>
      </w:r>
    </w:p>
    <w:p w14:paraId="5926E17C">
      <w:pPr>
        <w:rPr>
          <w:rFonts w:ascii="宋体" w:hAnsi="宋体" w:cs="仿宋"/>
        </w:rPr>
      </w:pPr>
    </w:p>
    <w:p w14:paraId="637C7597">
      <w:pPr>
        <w:rPr>
          <w:rFonts w:ascii="宋体" w:hAnsi="宋体" w:cs="仿宋"/>
        </w:rPr>
      </w:pPr>
    </w:p>
    <w:p w14:paraId="30935C8F">
      <w:pPr>
        <w:rPr>
          <w:rFonts w:ascii="宋体" w:hAnsi="宋体" w:cs="仿宋"/>
        </w:rPr>
      </w:pPr>
    </w:p>
    <w:p w14:paraId="737938E8">
      <w:pPr>
        <w:rPr>
          <w:rFonts w:ascii="宋体" w:hAnsi="宋体" w:cs="仿宋"/>
        </w:rPr>
      </w:pPr>
    </w:p>
    <w:p w14:paraId="31007B64">
      <w:pPr>
        <w:rPr>
          <w:rFonts w:ascii="宋体" w:hAnsi="宋体" w:cs="仿宋"/>
        </w:rPr>
      </w:pPr>
    </w:p>
    <w:p w14:paraId="4F189EF2">
      <w:pPr>
        <w:rPr>
          <w:rFonts w:hint="eastAsia" w:ascii="宋体" w:hAnsi="宋体" w:cs="仿宋"/>
        </w:rPr>
      </w:pPr>
    </w:p>
    <w:p w14:paraId="7B5CB919">
      <w:pPr>
        <w:rPr>
          <w:rFonts w:ascii="宋体" w:hAnsi="宋体" w:cs="仿宋"/>
        </w:rPr>
      </w:pPr>
    </w:p>
    <w:p w14:paraId="71C2CC40">
      <w:pPr>
        <w:rPr>
          <w:rFonts w:hint="eastAsia" w:ascii="宋体" w:hAnsi="宋体" w:cs="仿宋"/>
        </w:rPr>
      </w:pPr>
    </w:p>
    <w:p w14:paraId="07A90422">
      <w:pPr>
        <w:jc w:val="center"/>
        <w:rPr>
          <w:rFonts w:hint="eastAsia" w:ascii="宋体" w:hAnsi="宋体" w:cs="仿宋"/>
        </w:rPr>
      </w:pPr>
    </w:p>
    <w:p w14:paraId="2C41169B">
      <w:pPr>
        <w:rPr>
          <w:rFonts w:hint="eastAsia" w:ascii="宋体" w:hAnsi="宋体" w:cs="仿宋"/>
        </w:rPr>
      </w:pPr>
    </w:p>
    <w:p w14:paraId="47C735D0">
      <w:pPr>
        <w:rPr>
          <w:rFonts w:hint="eastAsia" w:ascii="宋体" w:hAnsi="宋体" w:cs="仿宋"/>
        </w:rPr>
      </w:pPr>
    </w:p>
    <w:p w14:paraId="514E61E5">
      <w:pPr>
        <w:rPr>
          <w:rFonts w:ascii="宋体" w:hAnsi="宋体" w:cs="仿宋"/>
        </w:rPr>
      </w:pPr>
    </w:p>
    <w:p w14:paraId="38CA468D">
      <w:pPr>
        <w:jc w:val="center"/>
        <w:rPr>
          <w:rFonts w:hint="default" w:ascii="宋体" w:hAnsi="宋体" w:cs="仿宋"/>
          <w:sz w:val="32"/>
          <w:szCs w:val="32"/>
          <w:lang w:val="en-US"/>
        </w:rPr>
      </w:pPr>
      <w:r>
        <w:rPr>
          <w:rFonts w:hint="default" w:ascii="Times New Roman" w:hAnsi="仿宋" w:eastAsia="仿宋" w:cs="仿宋"/>
          <w:b/>
          <w:kern w:val="2"/>
          <w:sz w:val="32"/>
          <w:szCs w:val="32"/>
          <w:lang w:val="en-US" w:eastAsia="zh-CN" w:bidi="ar-SA"/>
        </w:rPr>
        <w:t>Henan Otywell Electronic Technology Co., Ltd.</w:t>
      </w:r>
    </w:p>
    <w:p w14:paraId="08DDA4BF">
      <w:pPr>
        <w:rPr>
          <w:rFonts w:hint="eastAsia" w:ascii="宋体" w:hAnsi="宋体" w:cs="仿宋"/>
        </w:rPr>
      </w:pPr>
    </w:p>
    <w:p w14:paraId="363AC6D3">
      <w:pPr>
        <w:rPr>
          <w:rFonts w:hint="eastAsia" w:ascii="宋体" w:hAnsi="宋体" w:cs="仿宋"/>
        </w:rPr>
      </w:pPr>
    </w:p>
    <w:p w14:paraId="6B62694B">
      <w:pPr>
        <w:rPr>
          <w:rFonts w:hint="eastAsia" w:ascii="宋体" w:hAnsi="宋体" w:cs="仿宋"/>
        </w:rPr>
      </w:pPr>
    </w:p>
    <w:p w14:paraId="27083F29">
      <w:pPr>
        <w:rPr>
          <w:rFonts w:hint="eastAsia" w:ascii="宋体" w:hAnsi="宋体" w:cs="仿宋"/>
        </w:rPr>
      </w:pPr>
    </w:p>
    <w:p w14:paraId="7C9C88F0">
      <w:pPr>
        <w:rPr>
          <w:rFonts w:hint="eastAsia" w:ascii="宋体" w:hAnsi="宋体" w:cs="仿宋"/>
        </w:rPr>
      </w:pPr>
    </w:p>
    <w:p w14:paraId="6772FED3">
      <w:pPr>
        <w:jc w:val="center"/>
        <w:rPr>
          <w:rFonts w:hint="default" w:ascii="宋体" w:hAnsi="宋体" w:cs="黑体"/>
          <w:b/>
          <w:bCs/>
          <w:sz w:val="32"/>
          <w:szCs w:val="32"/>
          <w:lang w:val="en-US"/>
        </w:rPr>
      </w:pPr>
      <w:r>
        <w:rPr>
          <w:rFonts w:hint="default" w:ascii="Times New Roman" w:hAnsi="宋体" w:eastAsia="宋体" w:cs="黑体"/>
          <w:b/>
          <w:bCs/>
          <w:kern w:val="2"/>
          <w:sz w:val="32"/>
          <w:szCs w:val="32"/>
          <w:lang w:val="en-US" w:eastAsia="zh-CN" w:bidi="ar-SA"/>
        </w:rPr>
        <w:t>catálogo</w:t>
      </w:r>
    </w:p>
    <w:p w14:paraId="661AF5D3">
      <w:pPr>
        <w:pStyle w:val="11"/>
        <w:tabs>
          <w:tab w:val="right" w:leader="dot" w:pos="7134"/>
        </w:tabs>
        <w:rPr>
          <w:rFonts w:hint="default" w:ascii="等线" w:hAnsi="等线" w:eastAsia="等线"/>
          <w:lang w:val="en-US"/>
        </w:rPr>
      </w:pPr>
      <w:r>
        <w:fldChar w:fldCharType="begin"/>
      </w:r>
      <w:r>
        <w:instrText xml:space="preserve"> TOC \o "1-3" \h \z \u </w:instrText>
      </w:r>
      <w:r>
        <w:fldChar w:fldCharType="separate"/>
      </w:r>
      <w:r>
        <w:rPr>
          <w:rStyle w:val="21"/>
          <w:rFonts w:ascii="Times New Roman"/>
          <w:lang w:val="en-US"/>
        </w:rPr>
        <w:fldChar w:fldCharType="begin"/>
      </w:r>
      <w:r>
        <w:rPr>
          <w:rStyle w:val="21"/>
          <w:rFonts w:ascii="Times New Roman"/>
          <w:lang w:val="en-US"/>
        </w:rPr>
        <w:instrText xml:space="preserve"> HYPERLINK \l "_Toc90393091" </w:instrText>
      </w:r>
      <w:r>
        <w:rPr>
          <w:rStyle w:val="21"/>
          <w:rFonts w:ascii="Times New Roman"/>
          <w:lang w:val="en-US"/>
        </w:rPr>
        <w:fldChar w:fldCharType="separate"/>
      </w:r>
      <w:r>
        <w:rPr>
          <w:rStyle w:val="21"/>
          <w:rFonts w:ascii="Times New Roman"/>
          <w:lang w:val="en-US"/>
        </w:rPr>
        <w:t>I. Lectura esencial para los usuarios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D1A18E3">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"_Toc90393092" </w:instrText>
      </w:r>
      <w:r>
        <w:rPr>
          <w:rStyle w:val="21"/>
          <w:rFonts w:ascii="Times New Roman"/>
          <w:lang w:val="en-US"/>
        </w:rPr>
        <w:fldChar w:fldCharType="separate"/>
      </w:r>
      <w:r>
        <w:rPr>
          <w:rStyle w:val="21"/>
          <w:rFonts w:ascii="Times New Roman"/>
          <w:lang w:val="en-US"/>
        </w:rPr>
        <w:t>1.1 Directrices para el usuario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1264C8F">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"_Toc90393093" </w:instrText>
      </w:r>
      <w:r>
        <w:rPr>
          <w:rStyle w:val="21"/>
          <w:rFonts w:ascii="Times New Roman"/>
          <w:lang w:val="en-US"/>
        </w:rPr>
        <w:fldChar w:fldCharType="separate"/>
      </w:r>
      <w:r>
        <w:rPr>
          <w:rStyle w:val="21"/>
          <w:rFonts w:ascii="Times New Roman"/>
          <w:lang w:val="en-US"/>
        </w:rPr>
        <w:t>1.2 Garantía de calidad y cláusulas de exención 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DB2D97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"_Toc90393094" </w:instrText>
      </w:r>
      <w:r>
        <w:rPr>
          <w:rStyle w:val="21"/>
          <w:rFonts w:ascii="Times New Roman"/>
          <w:lang w:val="en-US"/>
        </w:rPr>
        <w:fldChar w:fldCharType="separate"/>
      </w:r>
      <w:r>
        <w:rPr>
          <w:rStyle w:val="21"/>
          <w:rFonts w:ascii="Times New Roman"/>
          <w:lang w:val="en-US"/>
        </w:rPr>
        <w:t>1.3 Normas que sigue este producto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EF3B06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"_Toc90393095" </w:instrText>
      </w:r>
      <w:r>
        <w:rPr>
          <w:rStyle w:val="21"/>
          <w:rFonts w:ascii="Times New Roman"/>
          <w:lang w:val="en-US"/>
        </w:rPr>
        <w:fldChar w:fldCharType="separate"/>
      </w:r>
      <w:r>
        <w:rPr>
          <w:rStyle w:val="21"/>
          <w:rFonts w:ascii="Times New Roman"/>
          <w:lang w:val="en-US"/>
        </w:rPr>
        <w:t>1.4 Precauciones de seguridad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B31370C">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"_Toc90393096" </w:instrText>
      </w:r>
      <w:r>
        <w:rPr>
          <w:rStyle w:val="21"/>
          <w:rFonts w:ascii="Times New Roman"/>
          <w:lang w:val="en-US"/>
        </w:rPr>
        <w:fldChar w:fldCharType="separate"/>
      </w:r>
      <w:r>
        <w:rPr>
          <w:rStyle w:val="21"/>
          <w:rFonts w:ascii="Times New Roman"/>
          <w:lang w:val="en-US"/>
        </w:rPr>
        <w:t>1.4.1 Precauciones para el funcionamiento seguro de los instrumentos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70048A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"_Toc90393097" </w:instrText>
      </w:r>
      <w:r>
        <w:rPr>
          <w:rStyle w:val="21"/>
          <w:rFonts w:ascii="Times New Roman"/>
          <w:lang w:val="en-US"/>
        </w:rPr>
        <w:fldChar w:fldCharType="separate"/>
      </w:r>
      <w:r>
        <w:rPr>
          <w:rStyle w:val="21"/>
          <w:rFonts w:ascii="Times New Roman"/>
          <w:lang w:val="en-US"/>
        </w:rPr>
        <w:t>1.4.2 Otras precauciones de seguridad 25</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57D4B4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"_Toc90393098" </w:instrText>
      </w:r>
      <w:r>
        <w:rPr>
          <w:rStyle w:val="21"/>
          <w:rFonts w:ascii="Times New Roman"/>
          <w:lang w:val="en-US"/>
        </w:rPr>
        <w:fldChar w:fldCharType="separate"/>
      </w:r>
      <w:r>
        <w:rPr>
          <w:rStyle w:val="21"/>
          <w:rFonts w:ascii="Times New Roman"/>
          <w:lang w:val="en-US"/>
        </w:rPr>
        <w:t>1.5 Evite el uso de equipos defectuosos 36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CFFAD48">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"_Toc90393099" </w:instrText>
      </w:r>
      <w:r>
        <w:rPr>
          <w:rStyle w:val="21"/>
          <w:rFonts w:ascii="Times New Roman"/>
          <w:lang w:val="en-US"/>
        </w:rPr>
        <w:fldChar w:fldCharType="separate"/>
      </w:r>
      <w:r>
        <w:rPr>
          <w:rStyle w:val="21"/>
          <w:rFonts w:ascii="Times New Roman"/>
          <w:lang w:val="en-US"/>
        </w:rPr>
        <w:t>II. Presentación del producto 46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6E9E4B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"_Toc90393100" </w:instrText>
      </w:r>
      <w:r>
        <w:rPr>
          <w:rStyle w:val="21"/>
          <w:rFonts w:ascii="Times New Roman"/>
          <w:lang w:val="en-US"/>
        </w:rPr>
        <w:fldChar w:fldCharType="separate"/>
      </w:r>
      <w:r>
        <w:rPr>
          <w:rStyle w:val="21"/>
          <w:rFonts w:ascii="Times New Roman"/>
          <w:lang w:val="en-US"/>
        </w:rPr>
        <w:t>2.1 Descripción general del producto 46</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485D9F5">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"_Toc90393101" </w:instrText>
      </w:r>
      <w:r>
        <w:rPr>
          <w:rStyle w:val="21"/>
          <w:rFonts w:ascii="Times New Roman"/>
          <w:lang w:val="en-US"/>
        </w:rPr>
        <w:fldChar w:fldCharType="separate"/>
      </w:r>
      <w:r>
        <w:rPr>
          <w:rStyle w:val="21"/>
          <w:rFonts w:ascii="Times New Roman"/>
          <w:lang w:val="en-US"/>
        </w:rPr>
        <w:t>2.1.1 Principio de detección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29EAB80D">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"_Toc90393102" </w:instrText>
      </w:r>
      <w:r>
        <w:rPr>
          <w:rStyle w:val="21"/>
          <w:rFonts w:ascii="Times New Roman"/>
          <w:lang w:val="en-US"/>
        </w:rPr>
        <w:fldChar w:fldCharType="separate"/>
      </w:r>
      <w:r>
        <w:rPr>
          <w:rStyle w:val="21"/>
          <w:rFonts w:ascii="Times New Roman"/>
          <w:lang w:val="en-US"/>
        </w:rPr>
        <w:t>2.2 Dispositivo transceptor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157680F6">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"_Toc90393103" </w:instrText>
      </w:r>
      <w:r>
        <w:rPr>
          <w:rStyle w:val="21"/>
          <w:rFonts w:ascii="Times New Roman"/>
          <w:lang w:val="en-US"/>
        </w:rPr>
        <w:fldChar w:fldCharType="separate"/>
      </w:r>
      <w:r>
        <w:rPr>
          <w:rStyle w:val="21"/>
          <w:rFonts w:ascii="Times New Roman"/>
          <w:lang w:val="en-US"/>
        </w:rPr>
        <w:t>2.3 Dispositivo receptor 47</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D4B69EC">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"_Toc90393104" </w:instrText>
      </w:r>
      <w:r>
        <w:rPr>
          <w:rStyle w:val="21"/>
          <w:rFonts w:ascii="Times New Roman"/>
          <w:lang w:val="en-US"/>
        </w:rPr>
        <w:fldChar w:fldCharType="separate"/>
      </w:r>
      <w:r>
        <w:rPr>
          <w:rStyle w:val="21"/>
          <w:rFonts w:ascii="Times New Roman"/>
          <w:lang w:val="en-US"/>
        </w:rPr>
        <w:t>III. Procedimientos operativos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52E8E00">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"_Toc90393105" </w:instrText>
      </w:r>
      <w:r>
        <w:rPr>
          <w:rStyle w:val="21"/>
          <w:rFonts w:ascii="Times New Roman"/>
          <w:lang w:val="en-US"/>
        </w:rPr>
        <w:fldChar w:fldCharType="separate"/>
      </w:r>
      <w:r>
        <w:rPr>
          <w:rStyle w:val="21"/>
          <w:rFonts w:ascii="Times New Roman"/>
          <w:lang w:val="en-US"/>
        </w:rPr>
        <w:t>3.1 Inspección del equipo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3C4C18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"_Toc90393106" </w:instrText>
      </w:r>
      <w:r>
        <w:rPr>
          <w:rStyle w:val="21"/>
          <w:rFonts w:ascii="Times New Roman"/>
          <w:lang w:val="en-US"/>
        </w:rPr>
        <w:fldChar w:fldCharType="separate"/>
      </w:r>
      <w:r>
        <w:rPr>
          <w:rStyle w:val="21"/>
          <w:rFonts w:ascii="Times New Roman"/>
          <w:lang w:val="en-US"/>
        </w:rPr>
        <w:t>3.2 Operación del equipo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0E7621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"_Toc90393107" </w:instrText>
      </w:r>
      <w:r>
        <w:rPr>
          <w:rStyle w:val="21"/>
          <w:rFonts w:ascii="Times New Roman"/>
          <w:lang w:val="en-US"/>
        </w:rPr>
        <w:fldChar w:fldCharType="separate"/>
      </w:r>
      <w:r>
        <w:rPr>
          <w:rStyle w:val="21"/>
          <w:rFonts w:ascii="Times New Roman"/>
          <w:lang w:val="en-US"/>
        </w:rPr>
        <w:t>IV. Procedimientos de instalación y operación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26EC54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"_Toc90393108" </w:instrText>
      </w:r>
      <w:r>
        <w:rPr>
          <w:rStyle w:val="21"/>
          <w:rFonts w:ascii="Times New Roman"/>
          <w:lang w:val="en-US"/>
        </w:rPr>
        <w:fldChar w:fldCharType="separate"/>
      </w:r>
      <w:r>
        <w:rPr>
          <w:rStyle w:val="21"/>
          <w:rFonts w:ascii="Times New Roman"/>
          <w:lang w:val="en-US"/>
        </w:rPr>
        <w:t>4.1 Requisitos del entorno de instalación 58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A4AB55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"_Toc90393109" </w:instrText>
      </w:r>
      <w:r>
        <w:rPr>
          <w:rStyle w:val="21"/>
          <w:rFonts w:ascii="Times New Roman"/>
          <w:lang w:val="en-US"/>
        </w:rPr>
        <w:fldChar w:fldCharType="separate"/>
      </w:r>
      <w:r>
        <w:rPr>
          <w:rStyle w:val="21"/>
          <w:rFonts w:ascii="Times New Roman"/>
          <w:lang w:val="en-US"/>
        </w:rPr>
        <w:t>4.2 Requisitos de ubicación de la instalación 68</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754AA27E">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"_Toc90393110" </w:instrText>
      </w:r>
      <w:r>
        <w:rPr>
          <w:rStyle w:val="21"/>
          <w:rFonts w:ascii="Times New Roman"/>
          <w:lang w:val="en-US"/>
        </w:rPr>
        <w:fldChar w:fldCharType="separate"/>
      </w:r>
      <w:r>
        <w:rPr>
          <w:rStyle w:val="21"/>
          <w:rFonts w:ascii="Times New Roman"/>
          <w:lang w:val="en-US"/>
        </w:rPr>
        <w:t>4.3 Dimensiones y requisitos de instalación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2C894AF7">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"_Toc90393111" </w:instrText>
      </w:r>
      <w:r>
        <w:rPr>
          <w:rStyle w:val="21"/>
          <w:rFonts w:ascii="Times New Roman"/>
          <w:lang w:val="en-US"/>
        </w:rPr>
        <w:fldChar w:fldCharType="separate"/>
      </w:r>
      <w:r>
        <w:rPr>
          <w:rStyle w:val="21"/>
          <w:rFonts w:ascii="Times New Roman"/>
          <w:lang w:val="en-US"/>
        </w:rPr>
        <w:t>4.3.1 Diagrama de apariencia y dimensiones de instalación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0036A0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"_Toc90393112" </w:instrText>
      </w:r>
      <w:r>
        <w:rPr>
          <w:rStyle w:val="21"/>
          <w:rFonts w:ascii="Times New Roman"/>
          <w:lang w:val="en-US"/>
        </w:rPr>
        <w:fldChar w:fldCharType="separate"/>
      </w:r>
      <w:r>
        <w:rPr>
          <w:rStyle w:val="21"/>
          <w:rFonts w:ascii="Times New Roman"/>
          <w:lang w:val="en-US"/>
        </w:rPr>
        <w:t>4.3.2 Requisitos de instalación 69</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9C599A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"_Toc90393113" </w:instrText>
      </w:r>
      <w:r>
        <w:rPr>
          <w:rStyle w:val="21"/>
          <w:rFonts w:ascii="Times New Roman"/>
          <w:lang w:val="en-US"/>
        </w:rPr>
        <w:fldChar w:fldCharType="separate"/>
      </w:r>
      <w:r>
        <w:rPr>
          <w:rStyle w:val="21"/>
          <w:rFonts w:ascii="Times New Roman"/>
          <w:lang w:val="en-US"/>
        </w:rPr>
        <w:t>4.4 Procedimientos de instalación y métodos de prueba 811</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3075BF82">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"_Toc90393114" </w:instrText>
      </w:r>
      <w:r>
        <w:rPr>
          <w:rStyle w:val="21"/>
          <w:rFonts w:ascii="Times New Roman"/>
          <w:lang w:val="en-US"/>
        </w:rPr>
        <w:fldChar w:fldCharType="separate"/>
      </w:r>
      <w:r>
        <w:rPr>
          <w:rStyle w:val="21"/>
          <w:rFonts w:ascii="Times New Roman"/>
          <w:lang w:val="en-US"/>
        </w:rPr>
        <w:t>4.5 Requisitos de instalación de interfaces y conectores 912</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2AF2924">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"_Toc90393115" </w:instrText>
      </w:r>
      <w:r>
        <w:rPr>
          <w:rStyle w:val="21"/>
          <w:rFonts w:ascii="Times New Roman"/>
          <w:lang w:val="en-US"/>
        </w:rPr>
        <w:fldChar w:fldCharType="separate"/>
      </w:r>
      <w:r>
        <w:rPr>
          <w:rStyle w:val="21"/>
          <w:rFonts w:ascii="Times New Roman"/>
          <w:lang w:val="en-US"/>
        </w:rPr>
        <w:t>4.6 Precauciones de instalación 912</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68E9296F">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"_Toc90393116" </w:instrText>
      </w:r>
      <w:r>
        <w:rPr>
          <w:rStyle w:val="21"/>
          <w:rFonts w:ascii="Times New Roman"/>
          <w:lang w:val="en-US"/>
        </w:rPr>
        <w:fldChar w:fldCharType="separate"/>
      </w:r>
      <w:r>
        <w:rPr>
          <w:rStyle w:val="21"/>
          <w:rFonts w:ascii="Times New Roman"/>
          <w:lang w:val="en-US"/>
        </w:rPr>
        <w:t>V. Factores que afectan a la precisión 1013</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B4450F9">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"_Toc90393117" </w:instrText>
      </w:r>
      <w:r>
        <w:rPr>
          <w:rStyle w:val="21"/>
          <w:rFonts w:ascii="Times New Roman"/>
          <w:lang w:val="en-US"/>
        </w:rPr>
        <w:fldChar w:fldCharType="separate"/>
      </w:r>
      <w:r>
        <w:rPr>
          <w:rStyle w:val="21"/>
          <w:rFonts w:ascii="Times New Roman"/>
          <w:lang w:val="en-US"/>
        </w:rPr>
        <w:t>VI. Solución de problemas comunes 1013</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ED8685A">
      <w:pPr>
        <w:pStyle w:val="11"/>
        <w:tabs>
          <w:tab w:val="right" w:leader="dot" w:pos="7134"/>
        </w:tabs>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"_Toc90393118" </w:instrText>
      </w:r>
      <w:r>
        <w:rPr>
          <w:rStyle w:val="21"/>
          <w:rFonts w:ascii="Times New Roman"/>
          <w:lang w:val="en-US"/>
        </w:rPr>
        <w:fldChar w:fldCharType="separate"/>
      </w:r>
      <w:r>
        <w:rPr>
          <w:rStyle w:val="21"/>
          <w:rFonts w:ascii="Times New Roman"/>
          <w:lang w:val="en-US"/>
        </w:rPr>
        <w:t>VII. Apéndice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056D708B">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"_Toc90393119" </w:instrText>
      </w:r>
      <w:r>
        <w:rPr>
          <w:rStyle w:val="21"/>
          <w:rFonts w:ascii="Times New Roman"/>
          <w:lang w:val="en-US"/>
        </w:rPr>
        <w:fldChar w:fldCharType="separate"/>
      </w:r>
      <w:r>
        <w:rPr>
          <w:rStyle w:val="21"/>
          <w:rFonts w:ascii="Times New Roman"/>
          <w:lang w:val="en-US"/>
        </w:rPr>
        <w:t>7.1 Mantenimiento y cuidado diarios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540BEF79">
      <w:pPr>
        <w:pStyle w:val="7"/>
        <w:tabs>
          <w:tab w:val="right" w:leader="dot" w:pos="7134"/>
        </w:tabs>
        <w:ind w:left="420"/>
        <w:rPr>
          <w:rFonts w:hint="default" w:ascii="等线" w:hAnsi="等线" w:eastAsia="等线"/>
          <w:lang w:val="en-US"/>
        </w:rPr>
      </w:pPr>
      <w:r>
        <w:rPr>
          <w:rStyle w:val="21"/>
          <w:rFonts w:ascii="Times New Roman"/>
          <w:lang w:val="en-US"/>
        </w:rPr>
        <w:fldChar w:fldCharType="begin"/>
      </w:r>
      <w:r>
        <w:rPr>
          <w:rStyle w:val="21"/>
          <w:rFonts w:ascii="Times New Roman"/>
          <w:lang w:val="en-US"/>
        </w:rPr>
        <w:instrText xml:space="preserve"> HYPERLINK \l "_Toc90393120" </w:instrText>
      </w:r>
      <w:r>
        <w:rPr>
          <w:rStyle w:val="21"/>
          <w:rFonts w:ascii="Times New Roman"/>
          <w:lang w:val="en-US"/>
        </w:rPr>
        <w:fldChar w:fldCharType="separate"/>
      </w:r>
      <w:r>
        <w:rPr>
          <w:rStyle w:val="21"/>
          <w:rFonts w:ascii="Times New Roman"/>
          <w:lang w:val="en-US"/>
        </w:rPr>
        <w:t>7.2 Tabla de parámetros de rendimiento 1114</w:t>
      </w:r>
      <w:r>
        <w:rPr>
          <w:rStyle w:val="21"/>
          <w:rFonts w:ascii="Times New Roman"/>
          <w:lang w:val="en-US"/>
        </w:rPr>
        <w:tab/>
      </w:r>
      <w:r>
        <w:rPr>
          <w:rStyle w:val="21"/>
          <w:rFonts w:ascii="Times New Roman"/>
          <w:lang w:val="en-US"/>
        </w:rPr>
        <w:t/>
      </w:r>
      <w:r>
        <w:rPr>
          <w:rStyle w:val="21"/>
          <w:rFonts w:ascii="Times New Roman"/>
          <w:lang w:val="en-US"/>
        </w:rPr>
        <w:fldChar w:fldCharType="end"/>
      </w:r>
    </w:p>
    <w:p w14:paraId="4F96F375">
      <w:r>
        <w:fldChar w:fldCharType="end"/>
      </w:r>
    </w:p>
    <w:p w14:paraId="1A591B89">
      <w:pPr>
        <w:rPr>
          <w:rFonts w:hint="eastAsia"/>
        </w:rPr>
        <w:sectPr>
          <w:headerReference r:id="rId3" w:type="default"/>
          <w:footerReference r:id="rId4" w:type="even"/>
          <w:pgSz w:w="10319" w:h="14572"/>
          <w:pgMar w:top="1474" w:right="1474" w:bottom="1474" w:left="1701" w:header="851" w:footer="992" w:gutter="0"/>
          <w:pgNumType w:start="1"/>
          <w:cols w:space="720" w:num="1"/>
          <w:titlePg/>
          <w:docGrid w:type="lines" w:linePitch="312" w:charSpace="0"/>
        </w:sectPr>
      </w:pPr>
    </w:p>
    <w:p w14:paraId="559A6119">
      <w:pPr>
        <w:pStyle w:val="2"/>
        <w:spacing w:before="240" w:after="240" w:line="240" w:lineRule="auto"/>
        <w:jc w:val="left"/>
        <w:rPr>
          <w:rFonts w:hint="default" w:ascii="宋体" w:hAnsi="宋体" w:cs="黑体"/>
          <w:b w:val="0"/>
          <w:bCs w:val="0"/>
          <w:sz w:val="32"/>
          <w:szCs w:val="32"/>
          <w:lang w:val="en-US"/>
        </w:rPr>
      </w:pPr>
      <w:bookmarkStart w:id="0" w:name="_Toc90393091"/>
      <w:bookmarkStart w:id="1" w:name="_Toc90392200"/>
      <w:r>
        <w:rPr>
          <w:rFonts w:hint="default" w:ascii="Times New Roman" w:hAnsi="宋体" w:eastAsia="宋体" w:cs="Times New Roman"/>
          <w:b/>
          <w:bCs/>
          <w:kern w:val="44"/>
          <w:sz w:val="44"/>
          <w:szCs w:val="44"/>
          <w:lang w:val="en-US" w:eastAsia="zh-CN" w:bidi="ar-SA"/>
        </w:rPr>
        <w:t>1. Lectura esencial para los usuarios</w:t>
      </w:r>
      <w:bookmarkEnd w:id="0"/>
      <w:bookmarkEnd w:id="1"/>
    </w:p>
    <w:p w14:paraId="13CCD787">
      <w:pPr>
        <w:ind w:firstLine="480" w:firstLineChars="200"/>
        <w:rPr>
          <w:rFonts w:hint="default" w:ascii="宋体" w:hAnsi="宋体" w:cs="宋体"/>
          <w:sz w:val="24"/>
          <w:szCs w:val="24"/>
          <w:lang w:val="en-US"/>
        </w:rPr>
      </w:pPr>
      <w:r>
        <w:rPr>
          <w:rFonts w:hint="default" w:ascii="Times New Roman" w:hAnsi="宋体" w:eastAsia="宋体" w:cs="宋体"/>
          <w:kern w:val="2"/>
          <w:sz w:val="24"/>
          <w:szCs w:val="24"/>
          <w:lang w:val="en-US" w:eastAsia="zh-CN" w:bidi="ar-SA"/>
        </w:rPr>
        <w:t>Este instrumento ha sido calibrado antes de su envío.</w:t>
      </w:r>
    </w:p>
    <w:p w14:paraId="1B2F1650">
      <w:pPr>
        <w:pStyle w:val="4"/>
        <w:spacing w:before="240" w:after="240" w:line="240" w:lineRule="auto"/>
        <w:rPr>
          <w:rFonts w:hint="default" w:ascii="宋体" w:hAnsi="宋体"/>
          <w:lang w:val="en-US"/>
        </w:rPr>
      </w:pPr>
      <w:bookmarkStart w:id="2" w:name="_Toc422918615"/>
      <w:bookmarkStart w:id="3" w:name="_Toc422909509"/>
      <w:bookmarkStart w:id="4" w:name="_Toc90393092"/>
      <w:r>
        <w:rPr>
          <w:rFonts w:hint="default" w:ascii="Times New Roman" w:hAnsi="宋体" w:eastAsia="宋体" w:cs="Times New Roman"/>
          <w:b/>
          <w:bCs/>
          <w:kern w:val="2"/>
          <w:sz w:val="32"/>
          <w:szCs w:val="32"/>
          <w:lang w:val="en-US" w:eastAsia="zh-CN" w:bidi="ar-SA"/>
        </w:rPr>
        <w:t xml:space="preserve">1.1 Directrices para el usuario</w:t>
      </w:r>
      <w:bookmarkEnd w:id="2"/>
      <w:bookmarkEnd w:id="3"/>
      <w:r>
        <w:rPr>
          <w:rFonts w:hint="default" w:ascii="Times New Roman" w:hAnsi="宋体" w:eastAsia="宋体" w:cs="Times New Roman"/>
          <w:b/>
          <w:bCs/>
          <w:kern w:val="2"/>
          <w:sz w:val="32"/>
          <w:szCs w:val="32"/>
          <w:lang w:val="en-US" w:eastAsia="zh-CN" w:bidi="ar-SA"/>
        </w:rPr>
        <w:t/>
      </w:r>
      <w:bookmarkEnd w:id="4"/>
      <w:r>
        <w:rPr>
          <w:rFonts w:hint="default" w:ascii="Times New Roman" w:hAnsi="宋体" w:eastAsia="宋体" w:cs="Times New Roman"/>
          <w:b/>
          <w:bCs/>
          <w:kern w:val="2"/>
          <w:sz w:val="32"/>
          <w:szCs w:val="32"/>
          <w:lang w:val="en-US" w:eastAsia="zh-CN" w:bidi="ar-SA"/>
        </w:rPr>
        <w:t xml:space="preserve"/>
      </w:r>
    </w:p>
    <w:p w14:paraId="5462FED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Bienvenido al sistema de telemetría láser de gas de circuito abierto G6000B (en lo sucesivo, el sistema de telemetría). Antes de utilizar este producto, lea atentamente este manual. Contiene información operativa esencial y especificaciones técnicas que los usuarios deben seguir estrictamente para garantizar el funcionamiento correcto del sistema. La orientación proporcionada también ayudará a los usuarios a manejar correctamente el dispositivo y a obtener resultados analíticos precisos.</w:t>
      </w:r>
    </w:p>
    <w:p w14:paraId="5DEB6D52">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Este manual ofrece una guía completa sobre el uso adecuado de los instrumentos de telemetría. Constituye una referencia precisa para técnicos que hayan recibido formación profesional o posean conocimientos pertinentes sobre la operación y el control de instrumentos. Antes de operar los instrumentos, asegúrese de comprender plenamente las instrucciones de seguridad y las advertencias descritas en este manual y de aplicarlas durante las operaciones prácticas. Debido a diversas limitaciones, este manual no puede ofrecer descripciones detalladas de todas las situaciones. Si los usuarios necesitan más información o asistencia con cuestiones no tratadas en él, póngase en contacto con Henan Otywell Electronic Technology Co., Ltd. en el 400-811-8873 para obtener soporte.</w:t>
      </w:r>
    </w:p>
    <w:p w14:paraId="4AFB09D6">
      <w:pPr>
        <w:pStyle w:val="4"/>
        <w:spacing w:before="240" w:after="240" w:line="240" w:lineRule="auto"/>
        <w:rPr>
          <w:rFonts w:hint="default" w:ascii="宋体" w:hAnsi="宋体"/>
          <w:lang w:val="en-US"/>
        </w:rPr>
      </w:pPr>
      <w:bookmarkStart w:id="5" w:name="_Toc90393093"/>
      <w:r>
        <w:rPr>
          <w:rFonts w:hint="default" w:ascii="Times New Roman" w:hAnsi="宋体" w:eastAsia="宋体" w:cs="Times New Roman"/>
          <w:b/>
          <w:bCs/>
          <w:kern w:val="2"/>
          <w:sz w:val="32"/>
          <w:szCs w:val="32"/>
          <w:lang w:val="en-US" w:eastAsia="zh-CN" w:bidi="ar-SA"/>
        </w:rPr>
        <w:t>1.2 Garantía de calidad y cláusulas de exención</w:t>
      </w:r>
      <w:bookmarkEnd w:id="5"/>
    </w:p>
    <w:p w14:paraId="0690B96B">
      <w:pPr>
        <w:ind w:firstLine="420"/>
        <w:rPr>
          <w:rFonts w:hint="default" w:ascii="宋体" w:hAnsi="宋体" w:cs="宋体"/>
          <w:szCs w:val="21"/>
          <w:lang w:val="en-US"/>
        </w:rPr>
      </w:pPr>
      <w:r>
        <w:rPr>
          <w:rFonts w:hint="default" w:ascii="Times New Roman" w:hAnsi="宋体" w:eastAsia="宋体" w:cs="宋体"/>
          <w:kern w:val="2"/>
          <w:sz w:val="21"/>
          <w:szCs w:val="21"/>
          <w:lang w:val="en-US" w:eastAsia="zh-CN" w:bidi="ar-SA"/>
        </w:rPr>
        <w:t>Al elegir Otywell, usted selecciona productos de alta calidad. Todos los productos de nuestra empresa son elegibles para reparaciones gratuitas durante el periodo de garantía; una vez finalizado dicho periodo, se cobrarán las tarifas correspondientes a la sustitución de componentes. Si tiene algún problema durante el uso, póngase en contacto con nosotros para recibir asistencia inmediata. Todo el instrumento está cubierto por una garantía de un año.</w:t>
      </w:r>
    </w:p>
    <w:p w14:paraId="0C6F46A9">
      <w:pPr>
        <w:jc w:val="left"/>
        <w:rPr>
          <w:rFonts w:hint="default" w:ascii="宋体" w:hAnsi="宋体"/>
          <w:lang w:val="en-US"/>
        </w:rPr>
      </w:pPr>
      <w:r>
        <w:rPr>
          <w:rFonts w:hint="default" w:ascii="Times New Roman" w:hAnsi="宋体" w:eastAsia="宋体" w:cs="Times New Roman"/>
          <w:kern w:val="2"/>
          <w:sz w:val="21"/>
          <w:szCs w:val="22"/>
          <w:lang w:val="en-US" w:eastAsia="zh-CN" w:bidi="ar-SA"/>
        </w:rPr>
        <w:t>Cualquier reparación fuera del periodo de garantía, o las que se produzcan durante el periodo de garantía y afecten a los siguientes fallos, se considerarán reparaciones fuera de garantía, para las que no se prestará servicio de garantía gratuito. Otywell se reserva el derecho de cobrar las tarifas de mantenimiento en el lugar. Estos fallos incluyen, entre otros:</w:t>
      </w:r>
    </w:p>
    <w:p w14:paraId="73B55335">
      <w:pPr>
        <w:jc w:val="left"/>
        <w:rPr>
          <w:rFonts w:hint="default" w:ascii="宋体" w:hAnsi="宋体"/>
          <w:lang w:val="en-US"/>
        </w:rPr>
      </w:pPr>
      <w:r>
        <w:rPr>
          <w:rFonts w:hint="default" w:ascii="Times New Roman" w:hAnsi="宋体" w:eastAsia="宋体" w:cs="Times New Roman"/>
          <w:kern w:val="2"/>
          <w:sz w:val="21"/>
          <w:szCs w:val="22"/>
          <w:lang w:val="en-US" w:eastAsia="zh-CN" w:bidi="ar-SA"/>
        </w:rPr>
        <w:t>1) Debido a un uso inadecuado (entrada de agua en el interior, corrosión, incendio o interferencias eléctricas de circuitos de alta tensión);</w:t>
      </w:r>
    </w:p>
    <w:p w14:paraId="162B5160">
      <w:pPr>
        <w:jc w:val="left"/>
        <w:rPr>
          <w:rFonts w:hint="default" w:ascii="宋体" w:hAnsi="宋体"/>
          <w:lang w:val="en-US"/>
        </w:rPr>
      </w:pPr>
      <w:r>
        <w:rPr>
          <w:rFonts w:hint="default" w:ascii="Times New Roman" w:hAnsi="宋体" w:eastAsia="宋体" w:cs="Times New Roman"/>
          <w:kern w:val="2"/>
          <w:sz w:val="21"/>
          <w:szCs w:val="22"/>
          <w:lang w:val="en-US" w:eastAsia="zh-CN" w:bidi="ar-SA"/>
        </w:rPr>
        <w:t>2) Fuerza mayor (daños causados por terremotos, rayos, inundaciones, etc.);</w:t>
      </w:r>
    </w:p>
    <w:p w14:paraId="2CAF1081">
      <w:pPr>
        <w:jc w:val="left"/>
        <w:rPr>
          <w:rFonts w:hint="default" w:ascii="宋体" w:hAnsi="宋体"/>
          <w:lang w:val="en-US"/>
        </w:rPr>
      </w:pPr>
      <w:r>
        <w:rPr>
          <w:rFonts w:hint="default" w:ascii="Times New Roman" w:hAnsi="宋体" w:eastAsia="宋体" w:cs="Times New Roman"/>
          <w:kern w:val="2"/>
          <w:sz w:val="21"/>
          <w:szCs w:val="22"/>
          <w:lang w:val="en-US" w:eastAsia="zh-CN" w:bidi="ar-SA"/>
        </w:rPr>
        <w:t>3) Modificación no autorizada del interior del producto sin permiso;</w:t>
      </w:r>
    </w:p>
    <w:p w14:paraId="55217DE3">
      <w:pPr>
        <w:jc w:val="left"/>
        <w:rPr>
          <w:rFonts w:hint="default" w:ascii="宋体" w:hAnsi="宋体"/>
          <w:lang w:val="en-US"/>
        </w:rPr>
      </w:pPr>
      <w:r>
        <w:rPr>
          <w:rFonts w:hint="default" w:ascii="Times New Roman" w:hAnsi="宋体" w:eastAsia="宋体" w:cs="Times New Roman"/>
          <w:kern w:val="2"/>
          <w:sz w:val="21"/>
          <w:szCs w:val="22"/>
          <w:lang w:val="en-US" w:eastAsia="zh-CN" w:bidi="ar-SA"/>
        </w:rPr>
        <w:t>4) El uso del producto sin seguir el manual de usuario y las normas de formación, lo que provoque daños al producto;</w:t>
      </w:r>
    </w:p>
    <w:p w14:paraId="4A31BEB7">
      <w:pPr>
        <w:rPr>
          <w:rFonts w:hint="default" w:ascii="宋体" w:hAnsi="宋体"/>
          <w:lang w:val="en-US"/>
        </w:rPr>
      </w:pPr>
      <w:r>
        <w:rPr>
          <w:rFonts w:hint="default" w:ascii="Times New Roman" w:hAnsi="宋体" w:eastAsia="宋体" w:cs="Times New Roman"/>
          <w:kern w:val="2"/>
          <w:sz w:val="21"/>
          <w:szCs w:val="22"/>
          <w:lang w:val="en-US" w:eastAsia="zh-CN" w:bidi="ar-SA"/>
        </w:rPr>
        <w:t>Este manual solo cubre los instrumentos y componentes vendidos a los compradores por proveedores, distribuidores y representantes autorizados de Otywell.</w:t>
      </w:r>
    </w:p>
    <w:p w14:paraId="4EDD0752">
      <w:pPr>
        <w:rPr>
          <w:rFonts w:hint="eastAsia" w:ascii="宋体" w:hAnsi="宋体"/>
        </w:rPr>
      </w:pPr>
    </w:p>
    <w:p w14:paraId="308F9B41">
      <w:pPr>
        <w:pStyle w:val="4"/>
        <w:spacing w:before="240" w:after="240" w:line="240" w:lineRule="auto"/>
        <w:rPr>
          <w:rFonts w:hint="default" w:ascii="宋体" w:hAnsi="宋体"/>
          <w:lang w:val="en-US"/>
        </w:rPr>
      </w:pPr>
      <w:bookmarkStart w:id="6" w:name="_Toc90393094"/>
      <w:bookmarkStart w:id="7" w:name="_Toc422918616"/>
      <w:bookmarkStart w:id="8" w:name="_Toc422909510"/>
      <w:r>
        <w:rPr>
          <w:rFonts w:hint="default" w:ascii="Times New Roman" w:hAnsi="宋体" w:eastAsia="宋体" w:cs="Times New Roman"/>
          <w:b/>
          <w:bCs/>
          <w:kern w:val="2"/>
          <w:sz w:val="32"/>
          <w:szCs w:val="32"/>
          <w:lang w:val="en-US" w:eastAsia="zh-CN" w:bidi="ar-SA"/>
        </w:rPr>
        <w:t>1.3 Normas que sigue este producto</w:t>
      </w:r>
      <w:bookmarkEnd w:id="6"/>
      <w:bookmarkEnd w:id="7"/>
      <w:bookmarkEnd w:id="8"/>
    </w:p>
    <w:p w14:paraId="0C67DC20">
      <w:pPr>
        <w:rPr>
          <w:rFonts w:hint="default" w:ascii="宋体" w:hAnsi="宋体" w:cs="宋体"/>
          <w:lang w:val="en-US"/>
        </w:rPr>
      </w:pPr>
      <w:r>
        <w:rPr>
          <w:rFonts w:hint="default" w:ascii="Times New Roman" w:hAnsi="宋体" w:eastAsia="宋体" w:cs="宋体"/>
          <w:kern w:val="2"/>
          <w:sz w:val="21"/>
          <w:szCs w:val="22"/>
          <w:lang w:val="en-US" w:eastAsia="zh-CN" w:bidi="ar-SA"/>
        </w:rPr>
        <w:t>GB 3836.1-2010 Atmósferas explosivas Parte 1: Requisitos generales de los equipos</w:t>
      </w:r>
    </w:p>
    <w:p w14:paraId="33875611">
      <w:pPr>
        <w:rPr>
          <w:rFonts w:hint="default" w:ascii="宋体" w:hAnsi="宋体" w:cs="宋体"/>
          <w:lang w:val="en-US"/>
        </w:rPr>
      </w:pPr>
      <w:r>
        <w:rPr>
          <w:rFonts w:hint="default" w:ascii="Times New Roman" w:hAnsi="宋体" w:eastAsia="宋体" w:cs="宋体"/>
          <w:kern w:val="2"/>
          <w:sz w:val="21"/>
          <w:szCs w:val="22"/>
          <w:lang w:val="en-US" w:eastAsia="zh-CN" w:bidi="ar-SA"/>
        </w:rPr>
        <w:t>GB 3836.2-2010 Atmósferas explosivas Parte 2: Equipos protegidos mediante envolvente antideflagrante 'd'</w:t>
      </w:r>
    </w:p>
    <w:p w14:paraId="60364F3B">
      <w:pPr>
        <w:ind w:firstLine="210" w:firstLineChars="100"/>
        <w:rPr>
          <w:rFonts w:hint="default" w:ascii="宋体" w:hAnsi="宋体" w:cs="宋体"/>
          <w:lang w:val="en-US"/>
        </w:rPr>
      </w:pPr>
      <w:r>
        <w:rPr>
          <w:rFonts w:hint="default" w:ascii="Times New Roman" w:hAnsi="宋体" w:eastAsia="宋体" w:cs="宋体"/>
          <w:bCs/>
          <w:kern w:val="2"/>
          <w:sz w:val="21"/>
          <w:szCs w:val="22"/>
          <w:lang w:val="en-US" w:eastAsia="zh-CN" w:bidi="ar-SA"/>
        </w:rPr>
        <w:t>IEC60079-28:2006 Atmósferas explosivas Parte 28: Medidas de protección para equipos de radiación óptica y sistemas de transmisión</w:t>
      </w:r>
    </w:p>
    <w:p w14:paraId="62D19512">
      <w:pPr>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5B314381">
      <w:pPr>
        <w:pStyle w:val="4"/>
        <w:spacing w:before="240" w:after="240" w:line="240" w:lineRule="auto"/>
        <w:rPr>
          <w:rFonts w:hint="default" w:ascii="宋体" w:hAnsi="宋体"/>
          <w:lang w:val="en-US"/>
        </w:rPr>
      </w:pPr>
      <w:bookmarkStart w:id="9" w:name="_Toc90393095"/>
      <w:r>
        <w:rPr>
          <w:rFonts w:hint="default" w:ascii="Times New Roman" w:hAnsi="宋体" w:eastAsia="宋体" w:cs="Times New Roman"/>
          <w:b/>
          <w:bCs/>
          <w:kern w:val="2"/>
          <w:sz w:val="32"/>
          <w:szCs w:val="32"/>
          <w:lang w:val="en-US" w:eastAsia="zh-CN" w:bidi="ar-SA"/>
        </w:rPr>
        <w:t>1.4 Precauciones de seguridad</w:t>
      </w:r>
      <w:bookmarkEnd w:id="9"/>
    </w:p>
    <w:p w14:paraId="2106DC37">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Antes de utilizar este instrumento, asegúrese de haber leído y comprendido las precauciones de seguridad que se describen a continuación.</w:t>
      </w:r>
    </w:p>
    <w:p w14:paraId="05D00E87">
      <w:pPr>
        <w:pStyle w:val="4"/>
        <w:spacing w:before="240" w:after="240" w:line="240" w:lineRule="auto"/>
        <w:rPr>
          <w:rFonts w:hint="default" w:ascii="宋体" w:hAnsi="宋体"/>
          <w:lang w:val="en-US"/>
        </w:rPr>
      </w:pPr>
      <w:bookmarkStart w:id="10" w:name="_Toc422909511"/>
      <w:bookmarkStart w:id="11" w:name="_Toc90393096"/>
      <w:r>
        <w:rPr>
          <w:rFonts w:hint="default" w:ascii="Times New Roman" w:hAnsi="宋体" w:eastAsia="宋体" w:cs="Times New Roman"/>
          <w:b/>
          <w:bCs/>
          <w:kern w:val="2"/>
          <w:sz w:val="28"/>
          <w:szCs w:val="32"/>
          <w:lang w:val="en-US" w:eastAsia="zh-CN" w:bidi="ar-SA"/>
        </w:rPr>
        <w:t>1.4.1 Precauciones para el funcionamiento seguro de los instrumentos</w:t>
      </w:r>
      <w:bookmarkEnd w:id="10"/>
      <w:bookmarkEnd w:id="11"/>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8"/>
      </w:tblGrid>
      <w:tr w14:paraId="6030A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128" w:type="dxa"/>
            <w:noWrap w:val="0"/>
            <w:vAlign w:val="top"/>
          </w:tcPr>
          <w:p w14:paraId="3582FA21">
            <w:pPr>
              <w:ind w:firstLine="422" w:firstLineChars="200"/>
              <w:rPr>
                <w:rFonts w:hint="eastAsia" w:ascii="宋体" w:hAnsi="宋体" w:cs="宋体"/>
                <w:b/>
                <w:color w:val="FF0000"/>
              </w:rPr>
            </w:pPr>
          </w:p>
          <w:p w14:paraId="37A102C2">
            <w:pPr>
              <w:ind w:firstLine="422" w:firstLineChars="200"/>
              <w:rPr>
                <w:rFonts w:hint="default" w:ascii="宋体" w:hAnsi="宋体" w:cs="宋体"/>
                <w:b/>
                <w:lang w:val="en-US"/>
              </w:rPr>
            </w:pPr>
            <w:r>
              <w:rPr>
                <w:rFonts w:hint="default" w:ascii="Times New Roman" w:hAnsi="宋体" w:eastAsia="宋体" w:cs="宋体"/>
                <w:b/>
                <w:kern w:val="2"/>
                <w:sz w:val="21"/>
                <w:szCs w:val="22"/>
                <w:lang w:val="en-US" w:eastAsia="zh-CN" w:bidi="ar-SA"/>
              </w:rPr>
              <w:t>Advertencia:</w:t>
            </w:r>
          </w:p>
          <w:p w14:paraId="18DE5AD3">
            <w:pPr>
              <w:ind w:left="420"/>
              <w:rPr>
                <w:rFonts w:hint="default" w:ascii="宋体" w:hAnsi="宋体" w:cs="宋体"/>
                <w:lang w:val="en-US"/>
              </w:rPr>
            </w:pPr>
            <w:r>
              <w:rPr>
                <w:rFonts w:hint="default" w:ascii="Times New Roman" w:hAnsi="宋体" w:eastAsia="宋体" w:cs="宋体"/>
                <w:kern w:val="2"/>
                <w:sz w:val="21"/>
                <w:szCs w:val="22"/>
                <w:lang w:val="en-US" w:eastAsia="zh-CN" w:bidi="ar-SA"/>
              </w:rPr>
              <w:t>1. El instrumento debe protegerse de la radiación de fuentes de calor a alta temperatura, ya que las temperaturas excesivamente altas o bajas pueden afectar negativamente al rendimiento y la vida útil del sensor.</w:t>
            </w:r>
          </w:p>
          <w:p w14:paraId="1F99DEEE">
            <w:pPr>
              <w:ind w:left="420"/>
              <w:rPr>
                <w:rFonts w:hint="default" w:ascii="宋体" w:hAnsi="宋体" w:cs="宋体"/>
                <w:lang w:val="en-US"/>
              </w:rPr>
            </w:pPr>
            <w:r>
              <w:rPr>
                <w:rFonts w:hint="default" w:ascii="Times New Roman" w:hAnsi="宋体" w:eastAsia="宋体" w:cs="宋体"/>
                <w:kern w:val="2"/>
                <w:sz w:val="21"/>
                <w:szCs w:val="22"/>
                <w:lang w:val="en-US" w:eastAsia="zh-CN" w:bidi="ar-SA"/>
              </w:rPr>
              <w:t>2. Evite mirar fijamente durante mucho tiempo el emisor láser para prevenir quemaduras oculares.</w:t>
            </w:r>
          </w:p>
          <w:p w14:paraId="40685F0B">
            <w:pPr>
              <w:ind w:left="420"/>
              <w:rPr>
                <w:rFonts w:hint="default" w:ascii="宋体" w:hAnsi="宋体" w:cs="宋体"/>
                <w:lang w:val="en-US"/>
              </w:rPr>
            </w:pPr>
            <w:r>
              <w:rPr>
                <w:rFonts w:hint="default" w:ascii="Times New Roman" w:hAnsi="宋体" w:eastAsia="宋体" w:cs="宋体"/>
                <w:kern w:val="2"/>
                <w:sz w:val="21"/>
                <w:szCs w:val="22"/>
                <w:lang w:val="en-US" w:eastAsia="zh-CN" w:bidi="ar-SA"/>
              </w:rPr>
              <w:t>3. El instrumento tiene una carcasa metálica. No lo toque cuando esté encendido para evitar descargas eléctricas.</w:t>
            </w:r>
          </w:p>
          <w:p w14:paraId="5DFA7B2C">
            <w:pPr>
              <w:ind w:left="420"/>
              <w:rPr>
                <w:rFonts w:hint="eastAsia" w:ascii="宋体" w:hAnsi="宋体" w:cs="宋体"/>
              </w:rPr>
            </w:pPr>
          </w:p>
        </w:tc>
      </w:tr>
    </w:tbl>
    <w:p w14:paraId="192C1EB9">
      <w:pPr>
        <w:pStyle w:val="4"/>
        <w:spacing w:before="240" w:after="240" w:line="240" w:lineRule="auto"/>
        <w:rPr>
          <w:rFonts w:hint="default" w:ascii="宋体" w:hAnsi="宋体"/>
          <w:sz w:val="28"/>
          <w:lang w:val="en-US"/>
        </w:rPr>
      </w:pPr>
      <w:bookmarkStart w:id="12" w:name="_Toc422909513"/>
      <w:bookmarkStart w:id="13" w:name="_Toc90393097"/>
      <w:r>
        <w:rPr>
          <w:rFonts w:hint="default" w:ascii="Times New Roman" w:hAnsi="宋体" w:eastAsia="宋体" w:cs="Times New Roman"/>
          <w:b/>
          <w:bCs/>
          <w:kern w:val="2"/>
          <w:sz w:val="28"/>
          <w:szCs w:val="32"/>
          <w:lang w:val="en-US" w:eastAsia="zh-CN" w:bidi="ar-SA"/>
        </w:rPr>
        <w:t>1.4.2 Otras precauciones de seguridad</w:t>
      </w:r>
      <w:bookmarkEnd w:id="12"/>
      <w:bookmarkEnd w:id="13"/>
    </w:p>
    <w:p w14:paraId="663A313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1) Este instrumento está clasificado como equipo de precisión. No intente desmontar, modificar ni alterar el dispositivo. Si el instrumento no funciona con normalidad o presenta fallos, póngase en contacto con nosotros.</w:t>
      </w:r>
    </w:p>
    <w:p w14:paraId="2EB8BEBA">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2) Si el instrumento se daña accidentalmente, cese de inmediato su funcionamiento, apague el dispositivo tras confirmar la seguridad del entorno, desconecte la alimentación eléctrica y póngase en contacto con nosotros.</w:t>
      </w:r>
    </w:p>
    <w:p w14:paraId="2D14B415">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3) No utilice benceno, disolventes ni disolventes gaseosos para limpiar la carcasa o las lentes del instrumento;</w:t>
      </w:r>
    </w:p>
    <w:p w14:paraId="40E7C47D">
      <w:pPr>
        <w:ind w:firstLine="420" w:firstLineChars="200"/>
        <w:rPr>
          <w:rFonts w:hint="default" w:ascii="宋体" w:hAnsi="宋体" w:cs="宋体"/>
          <w:szCs w:val="21"/>
          <w:lang w:val="en-US"/>
        </w:rPr>
      </w:pPr>
      <w:r>
        <w:rPr>
          <w:rFonts w:hint="default" w:ascii="Times New Roman" w:hAnsi="宋体" w:eastAsia="宋体" w:cs="宋体"/>
          <w:kern w:val="2"/>
          <w:sz w:val="21"/>
          <w:szCs w:val="21"/>
          <w:lang w:val="en-US" w:eastAsia="zh-CN" w:bidi="ar-SA"/>
        </w:rPr>
        <w:t>4) Método de salida: para las salidas 4-20mA conectadas a zonas seguras, debe añadirse una barrera de seguridad para evitar la entrada de energía externa antes de conectarlas a otros dispositivos; no obstante, esto no es necesario cuando se conectan a equipos de seguridad intrínseca.</w:t>
      </w:r>
    </w:p>
    <w:p w14:paraId="0E3AC82D">
      <w:pPr>
        <w:ind w:firstLine="420" w:firstLineChars="200"/>
        <w:rPr>
          <w:rFonts w:hint="eastAsia" w:ascii="宋体" w:hAnsi="宋体" w:cs="宋体"/>
          <w:szCs w:val="21"/>
        </w:rPr>
      </w:pPr>
    </w:p>
    <w:p w14:paraId="3056051B">
      <w:pPr>
        <w:pStyle w:val="4"/>
        <w:spacing w:before="240" w:after="240" w:line="240" w:lineRule="auto"/>
        <w:rPr>
          <w:rFonts w:hint="default" w:ascii="宋体" w:hAnsi="宋体"/>
          <w:lang w:val="en-US"/>
        </w:rPr>
      </w:pPr>
      <w:bookmarkStart w:id="14" w:name="_Toc422918617"/>
      <w:bookmarkStart w:id="15" w:name="_Toc422909514"/>
      <w:bookmarkStart w:id="16" w:name="_Toc90393098"/>
      <w:r>
        <w:rPr>
          <w:rFonts w:hint="default" w:ascii="Times New Roman" w:hAnsi="宋体" w:eastAsia="宋体" w:cs="Times New Roman"/>
          <w:b/>
          <w:bCs/>
          <w:kern w:val="2"/>
          <w:sz w:val="32"/>
          <w:szCs w:val="32"/>
          <w:lang w:val="en-US" w:eastAsia="zh-CN" w:bidi="ar-SA"/>
        </w:rPr>
        <w:t>1.5 Evite el uso de equipos defectuosos</w:t>
      </w:r>
      <w:bookmarkEnd w:id="14"/>
      <w:bookmarkEnd w:id="15"/>
      <w:bookmarkEnd w:id="16"/>
    </w:p>
    <w:p w14:paraId="755224D2">
      <w:pPr>
        <w:ind w:firstLine="420" w:firstLineChars="200"/>
        <w:rPr>
          <w:rFonts w:hint="default" w:ascii="宋体" w:hAnsi="宋体" w:cs="仿宋"/>
          <w:lang w:val="en-US"/>
        </w:rPr>
      </w:pPr>
      <w:r>
        <w:rPr>
          <w:rFonts w:hint="default" w:ascii="Times New Roman" w:hAnsi="宋体" w:eastAsia="宋体" w:cs="宋体"/>
          <w:kern w:val="2"/>
          <w:sz w:val="21"/>
          <w:szCs w:val="21"/>
          <w:lang w:val="en-US" w:eastAsia="zh-CN" w:bidi="ar-SA"/>
        </w:rPr>
        <w:t>Para minimizar el riesgo de fallos, lea atentamente lo siguiente.</w:t>
      </w:r>
    </w:p>
    <w:p w14:paraId="4A4E967F">
      <w:pPr>
        <w:ind w:firstLine="420"/>
        <w:rPr>
          <w:rFonts w:hint="default"/>
          <w:lang w:val="en-US"/>
        </w:rPr>
      </w:pPr>
      <w:bookmarkStart w:id="17" w:name="_Toc422909516"/>
      <w:r>
        <w:rPr>
          <w:rFonts w:hint="default" w:ascii="Times New Roman" w:hAnsi="Calibri" w:eastAsia="宋体" w:cs="Times New Roman"/>
          <w:kern w:val="2"/>
          <w:sz w:val="21"/>
          <w:szCs w:val="22"/>
          <w:lang w:val="en-US" w:eastAsia="zh-CN" w:bidi="ar-SA"/>
        </w:rPr>
        <w:t>Al utilizar el instrumento en condiciones meteorológicas húmedas, como lluvia o nieve, o en condiciones de neblina con altas concentraciones de polvo, deben observarse las siguientes precauciones:</w:t>
      </w:r>
      <w:bookmarkEnd w:id="17"/>
      <w:r>
        <w:rPr>
          <w:rFonts w:hint="default" w:ascii="Times New Roman" w:hAnsi="Calibri" w:eastAsia="宋体" w:cs="Times New Roman"/>
          <w:kern w:val="2"/>
          <w:sz w:val="21"/>
          <w:szCs w:val="22"/>
          <w:lang w:val="en-US" w:eastAsia="zh-CN" w:bidi="ar-SA"/>
        </w:rPr>
        <w:t/>
      </w:r>
    </w:p>
    <w:p w14:paraId="3A57D2CB">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Este instrumento está diseñado para evitar que las gotas de agua que caen verticalmente entren en su interior. Para condiciones meteorológicas húmedas, como lluvia o nieve, así como para entornos con niebla y altas concentraciones de polvo, deben tenerse en cuenta las siguientes precauciones y soluciones específicas:</w:t>
      </w:r>
    </w:p>
    <w:p w14:paraId="71FFB192">
      <w:pPr>
        <w:rPr>
          <w:rFonts w:hint="default" w:ascii="宋体" w:hAnsi="宋体" w:cs="宋体"/>
          <w:lang w:val="en-US"/>
        </w:rPr>
      </w:pPr>
      <w:r>
        <w:rPr>
          <w:rFonts w:hint="default" w:ascii="Times New Roman" w:hAnsi="宋体" w:eastAsia="宋体" w:cs="宋体"/>
          <w:kern w:val="2"/>
          <w:sz w:val="21"/>
          <w:szCs w:val="22"/>
          <w:lang w:val="en-US" w:eastAsia="zh-CN" w:bidi="ar-SA"/>
        </w:rPr>
        <w:t>1) Las lentes de vidrio del dispositivo receptor y transmisor del producto tienden a que se adhieran gotas de agua en condiciones meteorológicas húmedas, como lluvia o nieve, lo que puede interferir en la recepción y la intensidad de la señal y, por tanto, afectar al funcionamiento normal. Las gotas de agua adheridas deben limpiarse suavemente con un paño de algodón (como se muestra en la figura siguiente).</w:t>
      </w:r>
    </w:p>
    <w:p w14:paraId="4EA01312">
      <w:pPr>
        <w:jc w:val="center"/>
        <w:rPr>
          <w:rFonts w:hint="eastAsia" w:ascii="宋体" w:hAnsi="宋体" w:cs="仿宋"/>
        </w:rPr>
      </w:pPr>
      <w:r>
        <w:rPr>
          <w:rFonts w:hint="eastAsia" w:ascii="宋体" w:hAnsi="宋体" w:cs="仿宋"/>
        </w:rPr>
        <w:drawing>
          <wp:inline distT="0" distB="0" distL="114300" distR="114300">
            <wp:extent cx="1431290" cy="1543050"/>
            <wp:effectExtent l="0" t="0" r="1651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rcRect t="10326" b="7939"/>
                    <a:stretch>
                      <a:fillRect/>
                    </a:stretch>
                  </pic:blipFill>
                  <pic:spPr>
                    <a:xfrm>
                      <a:off x="0" y="0"/>
                      <a:ext cx="1431290" cy="1543050"/>
                    </a:xfrm>
                    <a:prstGeom prst="rect">
                      <a:avLst/>
                    </a:prstGeom>
                    <a:noFill/>
                    <a:ln>
                      <a:noFill/>
                    </a:ln>
                  </pic:spPr>
                </pic:pic>
              </a:graphicData>
            </a:graphic>
          </wp:inline>
        </w:drawing>
      </w:r>
    </w:p>
    <w:p w14:paraId="12A4ABC8">
      <w:pPr>
        <w:rPr>
          <w:rFonts w:hint="default" w:ascii="宋体" w:hAnsi="宋体" w:cs="宋体"/>
          <w:lang w:val="en-US"/>
        </w:rPr>
      </w:pPr>
      <w:r>
        <w:rPr>
          <w:rFonts w:hint="default" w:ascii="Times New Roman" w:hAnsi="宋体" w:eastAsia="宋体" w:cs="宋体"/>
          <w:kern w:val="2"/>
          <w:sz w:val="21"/>
          <w:szCs w:val="22"/>
          <w:lang w:val="en-US" w:eastAsia="zh-CN" w:bidi="ar-SA"/>
        </w:rPr>
        <w:t>2) El dispositivo receptor del producto tiende a que se adhieran gotas de agua en condiciones meteorológicas húmedas, como lluvia o nieve. Debe limpiarse suavemente con un paño suave para evitar que se vea afectado el funcionamiento normal del producto.</w:t>
      </w:r>
    </w:p>
    <w:p w14:paraId="36F84C6E">
      <w:pPr>
        <w:ind w:firstLine="420"/>
        <w:rPr>
          <w:rFonts w:hint="default" w:ascii="宋体" w:hAnsi="宋体" w:cs="仿宋"/>
          <w:lang w:val="en-US"/>
        </w:rPr>
      </w:pPr>
      <w:r>
        <w:rPr>
          <w:rFonts w:hint="default" w:ascii="Times New Roman" w:hAnsi="宋体" w:eastAsia="宋体" w:cs="仿宋"/>
          <w:kern w:val="2"/>
          <w:sz w:val="21"/>
          <w:szCs w:val="22"/>
          <w:lang w:val="en-US" w:eastAsia="zh-CN" w:bidi="ar-SA"/>
        </w:rPr>
        <w:t>3) En condiciones de neblina con altos niveles de polvo, es esencial limpiar suavemente el polvo adherido a las superficies de los espejos de los dispositivos receptor y transmisor con un paño de algodón suave y húmedo para evitar interferencias en el funcionamiento normal del producto.</w:t>
      </w:r>
      <w:bookmarkStart w:id="18" w:name="_Toc422909519"/>
      <w:bookmarkStart w:id="19" w:name="_Toc422918618"/>
      <w:r>
        <w:rPr>
          <w:rFonts w:hint="default" w:ascii="Times New Roman" w:hAnsi="宋体" w:eastAsia="宋体" w:cs="仿宋"/>
          <w:kern w:val="2"/>
          <w:sz w:val="21"/>
          <w:szCs w:val="22"/>
          <w:lang w:val="en-US" w:eastAsia="zh-CN" w:bidi="ar-SA"/>
        </w:rPr>
        <w:t/>
      </w:r>
      <w:bookmarkEnd w:id="18"/>
      <w:bookmarkEnd w:id="19"/>
      <w:r>
        <w:rPr>
          <w:rFonts w:hint="default" w:ascii="Times New Roman" w:hAnsi="宋体" w:eastAsia="宋体" w:cs="仿宋"/>
          <w:kern w:val="2"/>
          <w:sz w:val="21"/>
          <w:szCs w:val="22"/>
          <w:lang w:val="en-US" w:eastAsia="zh-CN" w:bidi="ar-SA"/>
        </w:rPr>
        <w:t/>
      </w:r>
    </w:p>
    <w:p w14:paraId="1D8EF1AC">
      <w:pPr>
        <w:pStyle w:val="2"/>
        <w:rPr>
          <w:rFonts w:hint="default"/>
          <w:lang w:val="en-US"/>
        </w:rPr>
      </w:pPr>
      <w:bookmarkStart w:id="20" w:name="_Toc90392201"/>
      <w:bookmarkStart w:id="21" w:name="_Toc90393099"/>
      <w:r>
        <w:rPr>
          <w:rFonts w:hint="default" w:ascii="Times New Roman" w:hAnsi="Calibri" w:eastAsia="宋体" w:cs="Times New Roman"/>
          <w:b/>
          <w:bCs/>
          <w:kern w:val="44"/>
          <w:sz w:val="44"/>
          <w:szCs w:val="44"/>
          <w:lang w:val="en-US" w:eastAsia="zh-CN" w:bidi="ar-SA"/>
        </w:rPr>
        <w:t>II. Presentación del producto</w:t>
      </w:r>
      <w:bookmarkEnd w:id="20"/>
      <w:bookmarkEnd w:id="21"/>
    </w:p>
    <w:p w14:paraId="3214C270">
      <w:pPr>
        <w:pStyle w:val="4"/>
        <w:spacing w:before="240" w:after="240" w:line="240" w:lineRule="auto"/>
        <w:rPr>
          <w:rStyle w:val="19"/>
          <w:rFonts w:hint="default" w:ascii="宋体" w:hAnsi="宋体"/>
          <w:b/>
          <w:bCs/>
          <w:lang w:val="en-US"/>
        </w:rPr>
      </w:pPr>
      <w:bookmarkStart w:id="22" w:name="_Toc90393100"/>
      <w:r>
        <w:rPr>
          <w:rFonts w:hint="default" w:ascii="Times New Roman" w:hAnsi="宋体" w:eastAsia="宋体" w:cs="Times New Roman"/>
          <w:b/>
          <w:bCs/>
          <w:kern w:val="2"/>
          <w:sz w:val="32"/>
          <w:szCs w:val="32"/>
          <w:lang w:val="en-US" w:eastAsia="zh-CN" w:bidi="ar-SA"/>
        </w:rPr>
        <w:t>2.1 Descripción general del producto</w:t>
      </w:r>
      <w:bookmarkEnd w:id="22"/>
    </w:p>
    <w:p w14:paraId="05B86A3B">
      <w:pPr>
        <w:pStyle w:val="14"/>
        <w:spacing w:before="0" w:beforeAutospacing="0" w:after="0" w:afterAutospacing="0"/>
        <w:rPr>
          <w:rFonts w:hint="default" w:cs="仿宋"/>
          <w:sz w:val="21"/>
          <w:szCs w:val="21"/>
          <w:lang w:val="en-US"/>
        </w:rPr>
      </w:pPr>
      <w:r>
        <w:rPr>
          <w:rFonts w:hint="default" w:ascii="Times New Roman" w:hAnsi="宋体" w:eastAsia="宋体" w:cs="宋体"/>
          <w:kern w:val="0"/>
          <w:sz w:val="21"/>
          <w:szCs w:val="21"/>
          <w:lang w:val="en-US" w:eastAsia="zh-CN" w:bidi="ar-SA"/>
        </w:rPr>
        <w:t>Compuesto por un dispositivo transceptor láser, un dispositivo receptor y un soporte fijo, este instrumento emplea el principio de la espectroscopia de absorción láser (TDLAS) para realizar una monitorización remota en tiempo real y en línea de la concentración de gas metano entre el dispositivo transceptor láser y el dispositivo receptor. También incorpora funciones como la adquisición, la conversión y la transmisión de señales.</w:t>
      </w:r>
    </w:p>
    <w:p w14:paraId="7D64E98E">
      <w:pPr>
        <w:pStyle w:val="4"/>
        <w:spacing w:before="240" w:after="240" w:line="240" w:lineRule="auto"/>
        <w:rPr>
          <w:rStyle w:val="19"/>
          <w:rFonts w:hint="default" w:ascii="宋体" w:hAnsi="宋体"/>
          <w:b/>
          <w:bCs/>
          <w:sz w:val="28"/>
          <w:lang w:val="en-US"/>
        </w:rPr>
      </w:pPr>
      <w:bookmarkStart w:id="23" w:name="_Toc90393101"/>
      <w:r>
        <w:rPr>
          <w:rFonts w:hint="default" w:ascii="Times New Roman" w:hAnsi="宋体" w:eastAsia="宋体" w:cs="Times New Roman"/>
          <w:b/>
          <w:bCs/>
          <w:kern w:val="2"/>
          <w:sz w:val="28"/>
          <w:szCs w:val="32"/>
          <w:lang w:val="en-US" w:eastAsia="zh-CN" w:bidi="ar-SA"/>
        </w:rPr>
        <w:t>2.1.1 Principio de detección</w:t>
      </w:r>
      <w:bookmarkEnd w:id="23"/>
    </w:p>
    <w:p w14:paraId="3B5A5EA7">
      <w:pPr>
        <w:pStyle w:val="14"/>
        <w:spacing w:before="0" w:beforeAutospacing="0" w:after="0" w:afterAutospacing="0"/>
        <w:rPr>
          <w:rFonts w:hint="default"/>
          <w:sz w:val="21"/>
          <w:szCs w:val="21"/>
          <w:lang w:val="en-US"/>
        </w:rPr>
      </w:pPr>
      <w:r>
        <w:rPr>
          <w:rFonts w:hint="default" w:ascii="Times New Roman" w:hAnsi="宋体" w:eastAsia="宋体" w:cs="宋体"/>
          <w:kern w:val="0"/>
          <w:sz w:val="21"/>
          <w:szCs w:val="21"/>
          <w:lang w:val="en-US" w:eastAsia="zh-CN" w:bidi="ar-SA"/>
        </w:rPr>
        <w:t>El principio de medición aprovecha plenamente las características de absorción del gas metano en una longitud de onda específica. Cuando el haz de detección se encuentra con las moléculas de metano, una parte del haz es absorbida por ellas. Midiendo la tasa de absorción, puede determinarse la concentración de metano.</w:t>
      </w:r>
    </w:p>
    <w:p w14:paraId="1F4FF628">
      <w:pPr>
        <w:pStyle w:val="4"/>
        <w:spacing w:before="240" w:after="240" w:line="240" w:lineRule="auto"/>
        <w:rPr>
          <w:rFonts w:hint="default" w:ascii="宋体" w:hAnsi="宋体"/>
          <w:lang w:val="en-US"/>
        </w:rPr>
      </w:pPr>
      <w:bookmarkStart w:id="24" w:name="_Toc422918619"/>
      <w:bookmarkStart w:id="25" w:name="_Toc422909520"/>
      <w:bookmarkStart w:id="26" w:name="_Toc90393102"/>
      <w:r>
        <w:rPr>
          <w:rFonts w:hint="default" w:ascii="Times New Roman" w:hAnsi="宋体" w:eastAsia="宋体" w:cs="Times New Roman"/>
          <w:b/>
          <w:bCs/>
          <w:kern w:val="2"/>
          <w:sz w:val="32"/>
          <w:szCs w:val="32"/>
          <w:lang w:val="en-US" w:eastAsia="zh-CN" w:bidi="ar-SA"/>
        </w:rPr>
        <w:t xml:space="preserve">2.2 Dispositivo transceptor</w:t>
      </w:r>
      <w:bookmarkEnd w:id="24"/>
      <w:bookmarkEnd w:id="25"/>
      <w:r>
        <w:rPr>
          <w:rFonts w:hint="default" w:ascii="Times New Roman" w:hAnsi="宋体" w:eastAsia="宋体" w:cs="Times New Roman"/>
          <w:b/>
          <w:bCs/>
          <w:kern w:val="2"/>
          <w:sz w:val="32"/>
          <w:szCs w:val="32"/>
          <w:lang w:val="en-US" w:eastAsia="zh-CN" w:bidi="ar-SA"/>
        </w:rPr>
        <w:t/>
      </w:r>
      <w:bookmarkEnd w:id="26"/>
    </w:p>
    <w:p w14:paraId="09C1A124">
      <w:pPr>
        <w:ind w:firstLine="420" w:firstLineChars="200"/>
        <w:rPr>
          <w:rFonts w:hint="default" w:ascii="宋体" w:hAnsi="宋体"/>
          <w:lang w:val="en-US"/>
        </w:rPr>
      </w:pPr>
      <w:r>
        <w:rPr>
          <w:rFonts w:hint="default" w:ascii="Times New Roman" w:hAnsi="宋体" w:eastAsia="宋体" w:cs="Times New Roman"/>
          <w:kern w:val="2"/>
          <w:sz w:val="21"/>
          <w:szCs w:val="22"/>
          <w:lang w:val="en-US" w:eastAsia="zh-CN" w:bidi="ar-SA"/>
        </w:rPr>
        <w:t>El sistema transceptor láser consta de un módulo de emisión láser, un soporte de montaje ajustable y una envolvente resistente a la intemperie. El módulo de emisión láser controla la emisión del láser mediante un mecanismo de accionamiento interno. El soporte de montaje permite ajustar los ángulos horizontal y de inclinación del transceptor para garantizar una emisión láser estable hacia el dispositivo transmisor. La envolvente de acero inoxidable proporciona una sólida protección física frente a condiciones meteorológicas adversas, protegiendo eficazmente el equipo de la radiación térmica y evitando interrupciones operativas causadas por la lluvia o la nieve.</w:t>
      </w:r>
    </w:p>
    <w:p w14:paraId="4A3BE9C2">
      <w:pPr>
        <w:ind w:firstLine="420" w:firstLineChars="200"/>
        <w:jc w:val="center"/>
        <w:rPr>
          <w:rFonts w:hint="eastAsia" w:ascii="宋体" w:hAnsi="宋体"/>
        </w:rPr>
      </w:pPr>
      <w:r>
        <w:drawing>
          <wp:inline distT="0" distB="0" distL="114300" distR="114300">
            <wp:extent cx="2143760" cy="822960"/>
            <wp:effectExtent l="0" t="0" r="15240" b="15240"/>
            <wp:docPr id="3" name="图片 3"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783032B6">
      <w:pPr>
        <w:pStyle w:val="4"/>
        <w:spacing w:before="240" w:after="240" w:line="240" w:lineRule="auto"/>
        <w:rPr>
          <w:rFonts w:hint="default" w:ascii="宋体" w:hAnsi="宋体"/>
          <w:lang w:val="en-US"/>
        </w:rPr>
      </w:pPr>
      <w:bookmarkStart w:id="27" w:name="_Toc90393103"/>
      <w:r>
        <w:rPr>
          <w:rFonts w:hint="default" w:ascii="Times New Roman" w:hAnsi="宋体" w:eastAsia="宋体" w:cs="Times New Roman"/>
          <w:b/>
          <w:bCs/>
          <w:kern w:val="2"/>
          <w:sz w:val="32"/>
          <w:szCs w:val="32"/>
          <w:lang w:val="en-US" w:eastAsia="zh-CN" w:bidi="ar-SA"/>
        </w:rPr>
        <w:t>2.3 Dispositivo receptor</w:t>
      </w:r>
      <w:bookmarkEnd w:id="27"/>
    </w:p>
    <w:p w14:paraId="5EE3980A">
      <w:pPr>
        <w:ind w:firstLine="420" w:firstLineChars="200"/>
        <w:rPr>
          <w:rFonts w:hint="default" w:ascii="宋体" w:hAnsi="宋体" w:cs="仿宋"/>
          <w:lang w:val="en-US"/>
        </w:rPr>
      </w:pPr>
      <w:r>
        <w:rPr>
          <w:rFonts w:hint="default" w:ascii="Times New Roman" w:hAnsi="宋体" w:eastAsia="宋体" w:cs="Times New Roman"/>
          <w:kern w:val="2"/>
          <w:sz w:val="21"/>
          <w:szCs w:val="22"/>
          <w:lang w:val="en-US" w:eastAsia="zh-CN" w:bidi="ar-SA"/>
        </w:rPr>
        <w:t>El sistema receptor láser consta de un módulo receptor láser, un soporte de montaje y una envolvente resistente a la intemperie. El módulo receptor láser capta las señales láser mediante receptores especializados, mientras que componentes ópticos de alta precisión realizan la conversión fotoelectrónica. Las señales procesadas se someten a una inversión de concentración antes de transmitirse a través de cables de datos. El soporte de montaje ajustable permite una alineación precisa de las unidades transceptoras regulando los ángulos horizontal y de inclinación. La envolvente resistente a la intemperie de acero inoxidable proporciona una sólida protección física frente a condiciones adversas, protegiendo eficazmente el equipo de la radiación térmica y evitando interrupciones operativas causadas por la lluvia o la nieve.</w:t>
      </w:r>
    </w:p>
    <w:p w14:paraId="372529A3">
      <w:pPr>
        <w:ind w:firstLine="420" w:firstLineChars="200"/>
        <w:jc w:val="center"/>
        <w:rPr>
          <w:rFonts w:hint="eastAsia" w:ascii="宋体" w:hAnsi="宋体" w:cs="仿宋"/>
        </w:rPr>
      </w:pPr>
      <w:r>
        <w:drawing>
          <wp:inline distT="0" distB="0" distL="114300" distR="114300">
            <wp:extent cx="2143760" cy="822960"/>
            <wp:effectExtent l="0" t="0" r="15240" b="15240"/>
            <wp:docPr id="4" name="图片 24" descr="BEY43966{[37KV4UA@ZQ(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descr="BEY43966{[37KV4UA@ZQ(_Q"/>
                    <pic:cNvPicPr>
                      <a:picLocks noChangeAspect="1"/>
                    </pic:cNvPicPr>
                  </pic:nvPicPr>
                  <pic:blipFill>
                    <a:blip r:embed="rId8"/>
                    <a:srcRect t="40907" b="20334"/>
                    <a:stretch>
                      <a:fillRect/>
                    </a:stretch>
                  </pic:blipFill>
                  <pic:spPr>
                    <a:xfrm>
                      <a:off x="0" y="0"/>
                      <a:ext cx="2143760" cy="822960"/>
                    </a:xfrm>
                    <a:prstGeom prst="rect">
                      <a:avLst/>
                    </a:prstGeom>
                    <a:noFill/>
                    <a:ln>
                      <a:noFill/>
                    </a:ln>
                  </pic:spPr>
                </pic:pic>
              </a:graphicData>
            </a:graphic>
          </wp:inline>
        </w:drawing>
      </w:r>
    </w:p>
    <w:p w14:paraId="4C9941F6">
      <w:pPr>
        <w:pStyle w:val="2"/>
        <w:spacing w:before="240" w:after="240" w:line="240" w:lineRule="auto"/>
        <w:jc w:val="left"/>
        <w:rPr>
          <w:rFonts w:hint="default" w:ascii="宋体" w:hAnsi="宋体"/>
          <w:lang w:val="en-US"/>
        </w:rPr>
      </w:pPr>
      <w:bookmarkStart w:id="28" w:name="_Toc90393104"/>
      <w:bookmarkStart w:id="29" w:name="_Toc90392202"/>
      <w:r>
        <w:rPr>
          <w:rFonts w:hint="default" w:ascii="Times New Roman" w:hAnsi="宋体" w:eastAsia="宋体" w:cs="Times New Roman"/>
          <w:b/>
          <w:bCs/>
          <w:kern w:val="44"/>
          <w:sz w:val="44"/>
          <w:szCs w:val="44"/>
          <w:lang w:val="en-US" w:eastAsia="zh-CN" w:bidi="ar-SA"/>
        </w:rPr>
        <w:t>III. Procedimientos operativos</w:t>
      </w:r>
      <w:bookmarkStart w:id="30" w:name="_Toc422909525"/>
      <w:r>
        <w:rPr>
          <w:rFonts w:hint="default" w:ascii="Times New Roman" w:hAnsi="宋体" w:eastAsia="宋体" w:cs="Times New Roman"/>
          <w:b/>
          <w:bCs/>
          <w:kern w:val="44"/>
          <w:sz w:val="44"/>
          <w:szCs w:val="44"/>
          <w:lang w:val="en-US" w:eastAsia="zh-CN" w:bidi="ar-SA"/>
        </w:rPr>
        <w:t/>
      </w:r>
      <w:bookmarkEnd w:id="30"/>
      <w:r>
        <w:rPr>
          <w:rFonts w:hint="default" w:ascii="Times New Roman" w:hAnsi="宋体" w:eastAsia="宋体" w:cs="Times New Roman"/>
          <w:b/>
          <w:bCs/>
          <w:kern w:val="44"/>
          <w:sz w:val="44"/>
          <w:szCs w:val="44"/>
          <w:lang w:val="en-US" w:eastAsia="zh-CN" w:bidi="ar-SA"/>
        </w:rPr>
        <w:t/>
      </w:r>
      <w:bookmarkEnd w:id="28"/>
      <w:bookmarkEnd w:id="29"/>
    </w:p>
    <w:p w14:paraId="56F35908">
      <w:pPr>
        <w:pStyle w:val="4"/>
        <w:spacing w:before="240" w:after="240" w:line="240" w:lineRule="auto"/>
        <w:rPr>
          <w:rFonts w:hint="default" w:ascii="宋体" w:hAnsi="宋体"/>
          <w:bCs w:val="0"/>
          <w:lang w:val="en-US"/>
        </w:rPr>
      </w:pPr>
      <w:bookmarkStart w:id="31" w:name="_Toc90393105"/>
      <w:r>
        <w:rPr>
          <w:rFonts w:hint="default" w:ascii="Times New Roman" w:hAnsi="宋体" w:eastAsia="宋体" w:cs="Times New Roman"/>
          <w:b/>
          <w:bCs w:val="0"/>
          <w:kern w:val="2"/>
          <w:sz w:val="32"/>
          <w:szCs w:val="32"/>
          <w:lang w:val="en-US" w:eastAsia="zh-CN" w:bidi="ar-SA"/>
        </w:rPr>
        <w:t>3.1 Inspección del equipo</w:t>
      </w:r>
      <w:bookmarkEnd w:id="31"/>
    </w:p>
    <w:p w14:paraId="388F295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1) Compruebe si el equipo está intacto y si todos los cables de datos están correctamente conectados y en buen estado;</w:t>
      </w:r>
    </w:p>
    <w:p w14:paraId="71D7466E">
      <w:pPr>
        <w:ind w:firstLine="525" w:firstLineChars="250"/>
        <w:rPr>
          <w:rFonts w:hint="default" w:ascii="宋体" w:hAnsi="宋体" w:cs="宋体"/>
          <w:lang w:val="en-US"/>
        </w:rPr>
      </w:pPr>
      <w:r>
        <w:rPr>
          <w:rFonts w:hint="default" w:ascii="Times New Roman" w:hAnsi="宋体" w:eastAsia="宋体" w:cs="宋体"/>
          <w:kern w:val="2"/>
          <w:sz w:val="21"/>
          <w:szCs w:val="22"/>
          <w:lang w:val="en-US" w:eastAsia="zh-CN" w:bidi="ar-SA"/>
        </w:rPr>
        <w:t>2) Asegúrese de que el espejo receptor esté limpio y límpielo periódicamente con un paño suave y seco.</w:t>
      </w:r>
    </w:p>
    <w:p w14:paraId="0A8CC95C">
      <w:pPr>
        <w:pStyle w:val="4"/>
        <w:spacing w:before="240" w:after="240" w:line="240" w:lineRule="auto"/>
        <w:rPr>
          <w:rFonts w:hint="default" w:ascii="宋体" w:hAnsi="宋体"/>
          <w:bCs w:val="0"/>
          <w:lang w:val="en-US"/>
        </w:rPr>
      </w:pPr>
      <w:bookmarkStart w:id="32" w:name="_Toc90393106"/>
      <w:r>
        <w:rPr>
          <w:rFonts w:hint="default" w:ascii="Times New Roman" w:hAnsi="宋体" w:eastAsia="宋体" w:cs="Times New Roman"/>
          <w:b/>
          <w:bCs w:val="0"/>
          <w:kern w:val="2"/>
          <w:sz w:val="32"/>
          <w:szCs w:val="32"/>
          <w:lang w:val="en-US" w:eastAsia="zh-CN" w:bidi="ar-SA"/>
        </w:rPr>
        <w:t>3.2 Operación del equipo</w:t>
      </w:r>
      <w:bookmarkEnd w:id="32"/>
    </w:p>
    <w:p w14:paraId="70CA2E1E">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1) Tras completar la inspección del proceso anterior, encienda y active el dispositivo;</w:t>
      </w:r>
    </w:p>
    <w:p w14:paraId="01D0CB87">
      <w:pPr>
        <w:ind w:firstLine="420" w:firstLineChars="200"/>
        <w:rPr>
          <w:rFonts w:hint="default" w:ascii="宋体" w:hAnsi="宋体" w:cs="仿宋"/>
          <w:lang w:val="en-US"/>
        </w:rPr>
      </w:pPr>
      <w:r>
        <w:rPr>
          <w:rFonts w:hint="default" w:ascii="Times New Roman" w:hAnsi="宋体" w:eastAsia="宋体" w:cs="仿宋"/>
          <w:kern w:val="2"/>
          <w:sz w:val="21"/>
          <w:szCs w:val="22"/>
          <w:lang w:val="en-US" w:eastAsia="zh-CN" w:bidi="ar-SA"/>
        </w:rPr>
        <w:t>2) Método de alimentación eléctrica: el dispositivo admite una alimentación de DC 24V. El cable de alimentación suministrado con este dispositivo puede conectarse a la fuente de alimentación de 24V DC del lugar para suministrar energía al dispositivo. Si no se dispone de alimentación de 24V DC en el lugar, puede utilizarse un convertidor de alimentación de AC a DC 24V para generar una alimentación de 24V DC estable con la que alimentar el dispositivo.</w:t>
      </w:r>
    </w:p>
    <w:p w14:paraId="0AEB2985">
      <w:pPr>
        <w:pStyle w:val="2"/>
        <w:spacing w:before="240" w:after="240" w:line="240" w:lineRule="auto"/>
        <w:jc w:val="left"/>
        <w:rPr>
          <w:rFonts w:hint="default" w:ascii="宋体" w:hAnsi="宋体"/>
          <w:lang w:val="en-US"/>
        </w:rPr>
      </w:pPr>
      <w:bookmarkStart w:id="33" w:name="_Toc90392203"/>
      <w:bookmarkStart w:id="34" w:name="_Toc90393107"/>
      <w:r>
        <w:rPr>
          <w:rFonts w:hint="default" w:ascii="Times New Roman" w:hAnsi="宋体" w:eastAsia="宋体" w:cs="Times New Roman"/>
          <w:b/>
          <w:bCs/>
          <w:kern w:val="44"/>
          <w:sz w:val="44"/>
          <w:szCs w:val="44"/>
          <w:lang w:val="en-US" w:eastAsia="zh-CN" w:bidi="ar-SA"/>
        </w:rPr>
        <w:t>IV. Procedimientos de instalación y operación</w:t>
      </w:r>
      <w:bookmarkEnd w:id="33"/>
      <w:bookmarkEnd w:id="34"/>
    </w:p>
    <w:p w14:paraId="579E4412">
      <w:pPr>
        <w:pStyle w:val="4"/>
        <w:spacing w:before="240" w:after="240" w:line="240" w:lineRule="auto"/>
        <w:rPr>
          <w:rFonts w:hint="default" w:ascii="宋体" w:hAnsi="宋体"/>
          <w:bCs w:val="0"/>
          <w:lang w:val="en-US"/>
        </w:rPr>
      </w:pPr>
      <w:bookmarkStart w:id="35" w:name="_Toc90393108"/>
      <w:r>
        <w:rPr>
          <w:rFonts w:hint="default" w:ascii="Times New Roman" w:hAnsi="宋体" w:eastAsia="宋体" w:cs="Times New Roman"/>
          <w:b/>
          <w:bCs w:val="0"/>
          <w:kern w:val="2"/>
          <w:sz w:val="32"/>
          <w:szCs w:val="32"/>
          <w:lang w:val="en-US" w:eastAsia="zh-CN" w:bidi="ar-SA"/>
        </w:rPr>
        <w:t>4.1 Requisitos del entorno de instalación</w:t>
      </w:r>
      <w:bookmarkEnd w:id="35"/>
    </w:p>
    <w:p w14:paraId="6B7CAEB8">
      <w:pPr>
        <w:rPr>
          <w:rFonts w:hint="default" w:cs="仿宋"/>
          <w:sz w:val="28"/>
          <w:szCs w:val="28"/>
          <w:lang w:val="en-US"/>
        </w:rPr>
      </w:pPr>
      <w:r>
        <w:rPr>
          <w:rFonts w:hint="default" w:ascii="Times New Roman" w:hAnsi="Calibri" w:eastAsia="宋体" w:cs="Times New Roman"/>
          <w:kern w:val="2"/>
          <w:sz w:val="21"/>
          <w:szCs w:val="22"/>
          <w:lang w:val="en-US" w:eastAsia="zh-CN" w:bidi="ar-SA"/>
        </w:rPr>
        <w:t>La instalación de este dispositivo requiere el uso de luz verde visible para calibrar el camino óptico entre el transmisor y el receptor. En condiciones de luz solar intensa, la luz verde visible es difícil de observar. Por lo tanto, se recomienda instalar este dispositivo en entornos con luz solar más débil (días nublados o al atardecer).</w:t>
      </w:r>
    </w:p>
    <w:p w14:paraId="537B3ACC">
      <w:pPr>
        <w:pStyle w:val="4"/>
        <w:spacing w:before="240" w:after="240" w:line="240" w:lineRule="auto"/>
        <w:rPr>
          <w:rFonts w:hint="default" w:ascii="宋体" w:hAnsi="宋体"/>
          <w:bCs w:val="0"/>
          <w:lang w:val="en-US"/>
        </w:rPr>
      </w:pPr>
      <w:bookmarkStart w:id="36" w:name="_Toc90393109"/>
      <w:r>
        <w:rPr>
          <w:rFonts w:hint="default" w:ascii="Times New Roman" w:hAnsi="宋体" w:eastAsia="宋体" w:cs="Times New Roman"/>
          <w:b/>
          <w:bCs w:val="0"/>
          <w:kern w:val="2"/>
          <w:sz w:val="32"/>
          <w:szCs w:val="32"/>
          <w:lang w:val="en-US" w:eastAsia="zh-CN" w:bidi="ar-SA"/>
        </w:rPr>
        <w:t>4.2 Requisitos de ubicación de la instalación</w:t>
      </w:r>
      <w:bookmarkEnd w:id="36"/>
    </w:p>
    <w:p w14:paraId="1A4A8717">
      <w:pPr>
        <w:rPr>
          <w:rFonts w:hint="default"/>
          <w:lang w:val="en-US"/>
        </w:rPr>
      </w:pPr>
      <w:r>
        <w:rPr>
          <w:rFonts w:hint="default" w:ascii="Times New Roman" w:hAnsi="Calibri" w:eastAsia="宋体" w:cs="Times New Roman"/>
          <w:kern w:val="2"/>
          <w:sz w:val="21"/>
          <w:szCs w:val="22"/>
          <w:lang w:val="en-US" w:eastAsia="zh-CN" w:bidi="ar-SA"/>
        </w:rPr>
        <w:t>Este dispositivo está diseñado principalmente para la monitorización de la concentración de gas en grandes espacios abiertos, como tuberías de larga distancia, estaciones de regulación de presión y cámaras de válvulas. Normalmente se instala en las ubicaciones de las válvulas de las tuberías o por encima de los grupos de cámaras de válvulas. Para instalaciones en exteriores, deben considerarse postes de soporte fabricados a medida o las condiciones del lugar; las instalaciones en interiores requieren bases de montaje fabricadas a medida o pernos de expansión. La instalación debe evitar zonas con vibraciones importantes o acumulación de polvo, con un rango de detección que no supere los 120 metros.</w:t>
      </w:r>
    </w:p>
    <w:p w14:paraId="73794F8C">
      <w:pPr>
        <w:pStyle w:val="4"/>
        <w:spacing w:before="240" w:after="240" w:line="240" w:lineRule="auto"/>
        <w:rPr>
          <w:rFonts w:hint="default" w:ascii="宋体" w:hAnsi="宋体"/>
          <w:bCs w:val="0"/>
          <w:lang w:val="en-US"/>
        </w:rPr>
      </w:pPr>
      <w:bookmarkStart w:id="37" w:name="_Toc90393110"/>
      <w:r>
        <w:rPr>
          <w:rFonts w:hint="default" w:ascii="Times New Roman" w:hAnsi="宋体" w:eastAsia="宋体" w:cs="Times New Roman"/>
          <w:b/>
          <w:bCs w:val="0"/>
          <w:kern w:val="2"/>
          <w:sz w:val="32"/>
          <w:szCs w:val="32"/>
          <w:lang w:val="en-US" w:eastAsia="zh-CN" w:bidi="ar-SA"/>
        </w:rPr>
        <w:t>4.3 Dimensiones y requisitos de instalación</w:t>
      </w:r>
      <w:bookmarkEnd w:id="37"/>
    </w:p>
    <w:p w14:paraId="3CBB9C3F">
      <w:pPr>
        <w:pStyle w:val="4"/>
        <w:spacing w:before="240" w:after="240" w:line="240" w:lineRule="auto"/>
        <w:rPr>
          <w:rFonts w:hint="default"/>
          <w:lang w:val="en-US"/>
        </w:rPr>
      </w:pPr>
      <w:bookmarkStart w:id="38" w:name="_Toc90393111"/>
      <w:r>
        <w:rPr>
          <w:rFonts w:hint="default" w:ascii="Times New Roman" w:hAnsi="宋体" w:eastAsia="宋体" w:cs="Times New Roman"/>
          <w:b/>
          <w:bCs/>
          <w:kern w:val="2"/>
          <w:sz w:val="28"/>
          <w:szCs w:val="32"/>
          <w:lang w:val="en-US" w:eastAsia="zh-CN" w:bidi="ar-SA"/>
        </w:rPr>
        <w:t>4.3.1 Diagrama de apariencia y dimensiones de instalación</w:t>
      </w:r>
      <w:bookmarkEnd w:id="38"/>
    </w:p>
    <w:p w14:paraId="12519C24">
      <w:r>
        <w:drawing>
          <wp:inline distT="0" distB="0" distL="114300" distR="114300">
            <wp:extent cx="4530725" cy="1418590"/>
            <wp:effectExtent l="0" t="0" r="1587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rcRect t="4488" b="2658"/>
                    <a:stretch>
                      <a:fillRect/>
                    </a:stretch>
                  </pic:blipFill>
                  <pic:spPr>
                    <a:xfrm>
                      <a:off x="0" y="0"/>
                      <a:ext cx="4530725" cy="1418590"/>
                    </a:xfrm>
                    <a:prstGeom prst="rect">
                      <a:avLst/>
                    </a:prstGeom>
                    <a:noFill/>
                    <a:ln>
                      <a:noFill/>
                    </a:ln>
                  </pic:spPr>
                </pic:pic>
              </a:graphicData>
            </a:graphic>
          </wp:inline>
        </w:drawing>
      </w:r>
    </w:p>
    <w:p w14:paraId="264D1F83">
      <w:pPr>
        <w:pStyle w:val="4"/>
        <w:spacing w:before="240" w:after="240" w:line="240" w:lineRule="auto"/>
        <w:rPr>
          <w:rFonts w:hint="default" w:ascii="宋体" w:hAnsi="宋体"/>
          <w:sz w:val="28"/>
          <w:lang w:val="en-US"/>
        </w:rPr>
      </w:pPr>
      <w:bookmarkStart w:id="39" w:name="_Toc90393112"/>
      <w:r>
        <w:rPr>
          <w:rFonts w:hint="default" w:ascii="Times New Roman" w:hAnsi="宋体" w:eastAsia="宋体" w:cs="Times New Roman"/>
          <w:b/>
          <w:bCs/>
          <w:kern w:val="2"/>
          <w:sz w:val="28"/>
          <w:szCs w:val="32"/>
          <w:lang w:val="en-US" w:eastAsia="zh-CN" w:bidi="ar-SA"/>
        </w:rPr>
        <w:t>4.3.2 Requisitos de instalación</w:t>
      </w:r>
      <w:bookmarkEnd w:id="39"/>
    </w:p>
    <w:p w14:paraId="4FBA422A">
      <w:pPr>
        <w:rPr>
          <w:rFonts w:hint="default"/>
          <w:lang w:val="en-US"/>
        </w:rPr>
      </w:pPr>
      <w:r>
        <w:rPr>
          <w:rFonts w:hint="default" w:ascii="Times New Roman" w:hAnsi="Calibri" w:eastAsia="宋体" w:cs="Times New Roman"/>
          <w:kern w:val="2"/>
          <w:sz w:val="21"/>
          <w:szCs w:val="22"/>
          <w:lang w:val="en-US" w:eastAsia="zh-CN" w:bidi="ar-SA"/>
        </w:rPr>
        <w:t>Este dispositivo puede instalarse utilizando postes verticales de tubo metálico o paredes planas, según el entorno del lugar.</w:t>
      </w:r>
    </w:p>
    <w:p w14:paraId="772AB58F">
      <w:pPr>
        <w:rPr>
          <w:rFonts w:hint="default"/>
          <w:lang w:val="en-US"/>
        </w:rPr>
      </w:pPr>
      <w:r>
        <w:rPr>
          <w:rFonts w:ascii="Times New Roman" w:hAnsi="Calibri" w:eastAsia="宋体" w:cs="Times New Roman"/>
          <w:kern w:val="2"/>
          <w:sz w:val="21"/>
          <w:szCs w:val="22"/>
          <w:lang w:val="en-US" w:eastAsia="zh-CN" w:bidi="ar-SA"/>
        </w:rPr>
        <w:t>Método de instalación en pared:</w:t>
      </w:r>
    </w:p>
    <w:p w14:paraId="33356754">
      <w:pPr>
        <w:jc w:val="center"/>
      </w:pPr>
      <w:r>
        <w:rPr>
          <w:rFonts w:hint="eastAsia"/>
        </w:rPr>
        <w:drawing>
          <wp:inline distT="0" distB="0" distL="114300" distR="114300">
            <wp:extent cx="2592070" cy="4224655"/>
            <wp:effectExtent l="0" t="0" r="24130"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592070" cy="4224655"/>
                    </a:xfrm>
                    <a:prstGeom prst="rect">
                      <a:avLst/>
                    </a:prstGeom>
                    <a:noFill/>
                    <a:ln>
                      <a:noFill/>
                    </a:ln>
                  </pic:spPr>
                </pic:pic>
              </a:graphicData>
            </a:graphic>
          </wp:inline>
        </w:drawing>
      </w:r>
    </w:p>
    <w:p w14:paraId="1A188A69">
      <w:pPr>
        <w:rPr>
          <w:rFonts w:hint="default"/>
          <w:lang w:val="en-US"/>
        </w:rPr>
      </w:pPr>
      <w:r>
        <w:rPr>
          <w:rFonts w:hint="default" w:ascii="Times New Roman" w:hAnsi="Calibri" w:eastAsia="宋体" w:cs="Times New Roman"/>
          <w:kern w:val="2"/>
          <w:sz w:val="21"/>
          <w:szCs w:val="22"/>
          <w:lang w:val="en-US" w:eastAsia="zh-CN" w:bidi="ar-SA"/>
        </w:rPr>
        <w:t>Soporte de montaje en pared:</w:t>
      </w:r>
    </w:p>
    <w:p w14:paraId="1738D124">
      <w:pPr>
        <w:jc w:val="center"/>
        <w:rPr>
          <w:rFonts w:hint="eastAsia"/>
        </w:rPr>
      </w:pPr>
      <w:r>
        <w:drawing>
          <wp:inline distT="0" distB="0" distL="114300" distR="114300">
            <wp:extent cx="4124325" cy="2707005"/>
            <wp:effectExtent l="0" t="0" r="15875" b="10795"/>
            <wp:docPr id="7" name="图片 7" descr="CEG{[EC1RLXFJE7F39F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EG{[EC1RLXFJE7F39FO`%3"/>
                    <pic:cNvPicPr>
                      <a:picLocks noChangeAspect="1"/>
                    </pic:cNvPicPr>
                  </pic:nvPicPr>
                  <pic:blipFill>
                    <a:blip r:embed="rId12"/>
                    <a:stretch>
                      <a:fillRect/>
                    </a:stretch>
                  </pic:blipFill>
                  <pic:spPr>
                    <a:xfrm>
                      <a:off x="0" y="0"/>
                      <a:ext cx="4124325" cy="2707005"/>
                    </a:xfrm>
                    <a:prstGeom prst="rect">
                      <a:avLst/>
                    </a:prstGeom>
                    <a:noFill/>
                    <a:ln>
                      <a:noFill/>
                    </a:ln>
                  </pic:spPr>
                </pic:pic>
              </a:graphicData>
            </a:graphic>
          </wp:inline>
        </w:drawing>
      </w:r>
    </w:p>
    <w:p w14:paraId="18A1F6AE">
      <w:pPr>
        <w:rPr>
          <w:rFonts w:hint="default"/>
          <w:lang w:val="en-US"/>
        </w:rPr>
      </w:pPr>
      <w:r>
        <w:rPr>
          <w:rFonts w:hint="default" w:ascii="Times New Roman" w:hAnsi="Calibri" w:eastAsia="宋体" w:cs="Times New Roman"/>
          <w:kern w:val="2"/>
          <w:sz w:val="21"/>
          <w:szCs w:val="22"/>
          <w:lang w:val="en-US" w:eastAsia="zh-CN" w:bidi="ar-SA"/>
        </w:rPr>
        <w:t>Método de instalación en poste:</w:t>
      </w:r>
    </w:p>
    <w:p w14:paraId="20120969">
      <w:pPr>
        <w:jc w:val="center"/>
        <w:rPr>
          <w:rFonts w:hint="eastAsia"/>
        </w:rPr>
      </w:pPr>
      <w:r>
        <w:rPr>
          <w:rFonts w:hint="eastAsia"/>
        </w:rPr>
        <w:drawing>
          <wp:inline distT="0" distB="0" distL="114300" distR="114300">
            <wp:extent cx="2577465" cy="4352925"/>
            <wp:effectExtent l="0" t="0" r="1333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2577465" cy="4352925"/>
                    </a:xfrm>
                    <a:prstGeom prst="rect">
                      <a:avLst/>
                    </a:prstGeom>
                    <a:noFill/>
                    <a:ln>
                      <a:noFill/>
                    </a:ln>
                  </pic:spPr>
                </pic:pic>
              </a:graphicData>
            </a:graphic>
          </wp:inline>
        </w:drawing>
      </w:r>
    </w:p>
    <w:p w14:paraId="250F997C">
      <w:pPr>
        <w:pStyle w:val="4"/>
        <w:spacing w:before="240" w:after="240" w:line="240" w:lineRule="auto"/>
        <w:rPr>
          <w:rFonts w:hint="default" w:ascii="宋体" w:hAnsi="宋体"/>
          <w:bCs w:val="0"/>
          <w:lang w:val="en-US"/>
        </w:rPr>
      </w:pPr>
      <w:bookmarkStart w:id="40" w:name="_Toc90393113"/>
      <w:r>
        <w:rPr>
          <w:rFonts w:hint="default" w:ascii="Times New Roman" w:hAnsi="宋体" w:eastAsia="宋体" w:cs="Times New Roman"/>
          <w:b/>
          <w:bCs w:val="0"/>
          <w:kern w:val="2"/>
          <w:sz w:val="32"/>
          <w:szCs w:val="32"/>
          <w:lang w:val="en-US" w:eastAsia="zh-CN" w:bidi="ar-SA"/>
        </w:rPr>
        <w:t>4.4 Procedimientos de instalación y métodos de prueba</w:t>
      </w:r>
      <w:bookmarkEnd w:id="40"/>
    </w:p>
    <w:p w14:paraId="7FC6A1F0">
      <w:pPr>
        <w:rPr>
          <w:rFonts w:hint="default"/>
          <w:lang w:val="en-US"/>
        </w:rPr>
      </w:pPr>
      <w:r>
        <w:rPr>
          <w:rFonts w:hint="default" w:ascii="Times New Roman" w:hAnsi="Calibri" w:eastAsia="宋体" w:cs="Times New Roman"/>
          <w:kern w:val="2"/>
          <w:sz w:val="21"/>
          <w:szCs w:val="22"/>
          <w:lang w:val="en-US" w:eastAsia="zh-CN" w:bidi="ar-SA"/>
        </w:rPr>
        <w:t>(1) Preparativos previos a la instalación: multímetro, llave inglesa, alicates de corte en bisel, paño de limpieza de lentes, pernos de instalación, arandelas, tuercas, etc.;</w:t>
      </w:r>
    </w:p>
    <w:p w14:paraId="71E7F2BC">
      <w:pPr>
        <w:rPr>
          <w:rFonts w:hint="default"/>
          <w:lang w:val="en-US"/>
        </w:rPr>
      </w:pPr>
      <w:r>
        <w:rPr>
          <w:rFonts w:hint="default" w:ascii="Times New Roman" w:hAnsi="Calibri" w:eastAsia="宋体" w:cs="Times New Roman"/>
          <w:kern w:val="2"/>
          <w:sz w:val="21"/>
          <w:szCs w:val="22"/>
          <w:lang w:val="en-US" w:eastAsia="zh-CN" w:bidi="ar-SA"/>
        </w:rPr>
        <w:t>(2) Pasos de instalación</w:t>
      </w:r>
    </w:p>
    <w:p w14:paraId="7A0ACC4E">
      <w:pPr>
        <w:ind w:firstLine="420"/>
        <w:rPr>
          <w:rFonts w:hint="default"/>
          <w:lang w:val="en-US"/>
        </w:rPr>
      </w:pPr>
      <w:r>
        <w:rPr>
          <w:rFonts w:hint="default" w:ascii="Times New Roman" w:hAnsi="Calibri" w:eastAsia="宋体" w:cs="Times New Roman"/>
          <w:kern w:val="2"/>
          <w:sz w:val="21"/>
          <w:szCs w:val="22"/>
          <w:lang w:val="en-US" w:eastAsia="zh-CN" w:bidi="ar-SA"/>
        </w:rPr>
        <w:t>Preparación antes de la instalación del equipo: realice una inspección en el lugar para determinar la ubicación y la altura de instalación de los dispositivos transmisor y receptor, y verifique la integridad de las sondas.</w:t>
      </w:r>
    </w:p>
    <w:p w14:paraId="790181BA">
      <w:pPr>
        <w:rPr>
          <w:rFonts w:hint="default" w:cs="仿宋"/>
          <w:lang w:val="en-US"/>
        </w:rPr>
      </w:pPr>
      <w:r>
        <w:rPr>
          <w:rFonts w:hint="default" w:ascii="Times New Roman" w:hAnsi="Calibri" w:eastAsia="宋体" w:cs="仿宋"/>
          <w:kern w:val="2"/>
          <w:sz w:val="21"/>
          <w:szCs w:val="22"/>
          <w:lang w:val="en-US" w:eastAsia="zh-CN" w:bidi="ar-SA"/>
        </w:rPr>
        <w:t>2) Instalación y puesta a punto de los dispositivos receptor y transmisor: instale los dispositivos receptor y transmisor en la pared según los planos del estudio del lugar, apriete las cuatro tuercas de fijación de la base de montaje y dirija la luz verde del extremo transmisor hacia la placa receptora;</w:t>
      </w:r>
    </w:p>
    <w:p w14:paraId="38B6A977">
      <w:pPr>
        <w:rPr>
          <w:rFonts w:hint="eastAsia"/>
        </w:rPr>
      </w:pPr>
    </w:p>
    <w:p w14:paraId="0308AAC8">
      <w:pPr>
        <w:pStyle w:val="4"/>
        <w:spacing w:before="240" w:after="240" w:line="240" w:lineRule="auto"/>
        <w:rPr>
          <w:rFonts w:hint="default" w:ascii="宋体" w:hAnsi="宋体"/>
          <w:bCs w:val="0"/>
          <w:lang w:val="en-US"/>
        </w:rPr>
      </w:pPr>
      <w:bookmarkStart w:id="41" w:name="_Toc90393114"/>
      <w:r>
        <w:rPr>
          <w:rFonts w:hint="default" w:ascii="Times New Roman" w:hAnsi="宋体" w:eastAsia="宋体" w:cs="Times New Roman"/>
          <w:b/>
          <w:bCs w:val="0"/>
          <w:kern w:val="2"/>
          <w:sz w:val="32"/>
          <w:szCs w:val="32"/>
          <w:lang w:val="en-US" w:eastAsia="zh-CN" w:bidi="ar-SA"/>
        </w:rPr>
        <w:t>4.5 Requisitos de instalación de interfaces y conectores</w:t>
      </w:r>
      <w:bookmarkEnd w:id="41"/>
    </w:p>
    <w:p w14:paraId="38EF10C4">
      <w:pPr>
        <w:rPr>
          <w:rFonts w:hint="default"/>
          <w:lang w:val="en-US"/>
        </w:rPr>
      </w:pPr>
      <w:r>
        <w:rPr>
          <w:rFonts w:hint="default" w:ascii="Times New Roman" w:hAnsi="Calibri" w:eastAsia="宋体" w:cs="Times New Roman"/>
          <w:kern w:val="2"/>
          <w:sz w:val="21"/>
          <w:szCs w:val="22"/>
          <w:lang w:val="en-US" w:eastAsia="zh-CN" w:bidi="ar-SA"/>
        </w:rPr>
        <w:t>El cable de alimentación y el cable de señal se conectan a la caja de conexiones antideflagrante mediante mangueras flexibles antideflagrantes. Las líneas de alimentación y de señal 4-20mA utilizan bornes de conexión rápida montados en carril para facilitar la instalación del cableado en el lugar. Las especificaciones de la interfaz se detallan en la tabla siguiente:</w:t>
      </w:r>
    </w:p>
    <w:p w14:paraId="7E9E417B">
      <w:pPr>
        <w:widowControl/>
        <w:jc w:val="center"/>
      </w:pPr>
      <w:r>
        <w:drawing>
          <wp:inline distT="0" distB="0" distL="114300" distR="114300">
            <wp:extent cx="3716020" cy="3724275"/>
            <wp:effectExtent l="0" t="0" r="17780"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4"/>
                    <a:stretch>
                      <a:fillRect/>
                    </a:stretch>
                  </pic:blipFill>
                  <pic:spPr>
                    <a:xfrm>
                      <a:off x="0" y="0"/>
                      <a:ext cx="3716020" cy="3724275"/>
                    </a:xfrm>
                    <a:prstGeom prst="rect">
                      <a:avLst/>
                    </a:prstGeom>
                    <a:noFill/>
                    <a:ln>
                      <a:noFill/>
                    </a:ln>
                  </pic:spPr>
                </pic:pic>
              </a:graphicData>
            </a:graphic>
          </wp:inline>
        </w:drawing>
      </w:r>
    </w:p>
    <w:p w14:paraId="72767EA6">
      <w:pPr>
        <w:widowControl/>
        <w:jc w:val="center"/>
        <w:rPr>
          <w:rFonts w:hint="eastAsia"/>
        </w:rPr>
      </w:pP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38"/>
      </w:tblGrid>
      <w:tr w14:paraId="5FC64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214CF57">
            <w:pPr>
              <w:jc w:val="center"/>
              <w:rPr>
                <w:rFonts w:hint="default"/>
                <w:lang w:val="en-US"/>
              </w:rPr>
            </w:pPr>
            <w:bookmarkStart w:id="42" w:name="_Toc90392204"/>
            <w:r>
              <w:rPr>
                <w:rFonts w:hint="default" w:ascii="Times New Roman" w:hAnsi="Calibri" w:eastAsia="宋体" w:cs="Times New Roman"/>
                <w:kern w:val="2"/>
                <w:sz w:val="21"/>
                <w:szCs w:val="22"/>
                <w:lang w:val="en-US" w:eastAsia="zh-CN" w:bidi="ar-SA"/>
              </w:rPr>
              <w:t>número de orden</w:t>
            </w:r>
            <w:bookmarkEnd w:id="42"/>
          </w:p>
        </w:tc>
        <w:tc>
          <w:tcPr>
            <w:tcW w:w="2438" w:type="dxa"/>
            <w:noWrap w:val="0"/>
            <w:vAlign w:val="top"/>
          </w:tcPr>
          <w:p w14:paraId="0932B4F1">
            <w:pPr>
              <w:jc w:val="center"/>
              <w:rPr>
                <w:rFonts w:hint="default"/>
                <w:lang w:val="en-US"/>
              </w:rPr>
            </w:pPr>
            <w:bookmarkStart w:id="43" w:name="_Toc90392205"/>
            <w:r>
              <w:rPr>
                <w:rFonts w:hint="default" w:ascii="Times New Roman" w:hAnsi="Calibri" w:eastAsia="宋体" w:cs="Times New Roman"/>
                <w:kern w:val="2"/>
                <w:sz w:val="21"/>
                <w:szCs w:val="22"/>
                <w:lang w:val="en-US" w:eastAsia="zh-CN" w:bidi="ar-SA"/>
              </w:rPr>
              <w:t>Definición de la interfaz</w:t>
            </w:r>
            <w:bookmarkEnd w:id="43"/>
          </w:p>
        </w:tc>
      </w:tr>
      <w:tr w14:paraId="00636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078B815F">
            <w:pPr>
              <w:jc w:val="center"/>
              <w:rPr>
                <w:rFonts w:hint="default"/>
                <w:lang w:val="en-US"/>
              </w:rPr>
            </w:pPr>
            <w:bookmarkStart w:id="44" w:name="_Toc90392206"/>
            <w:r>
              <w:rPr>
                <w:rFonts w:ascii="Times New Roman" w:hAnsi="Calibri" w:eastAsia="宋体" w:cs="Times New Roman"/>
                <w:kern w:val="2"/>
                <w:sz w:val="21"/>
                <w:szCs w:val="22"/>
                <w:lang w:val="en-US" w:eastAsia="zh-CN" w:bidi="ar-SA"/>
              </w:rPr>
              <w:t>+</w:t>
            </w:r>
            <w:bookmarkEnd w:id="44"/>
          </w:p>
        </w:tc>
        <w:tc>
          <w:tcPr>
            <w:tcW w:w="2438" w:type="dxa"/>
            <w:noWrap w:val="0"/>
            <w:vAlign w:val="top"/>
          </w:tcPr>
          <w:p w14:paraId="4EA26CFB">
            <w:pPr>
              <w:jc w:val="center"/>
              <w:rPr>
                <w:rFonts w:hint="default"/>
                <w:lang w:val="en-US"/>
              </w:rPr>
            </w:pPr>
            <w:bookmarkStart w:id="45" w:name="_Toc90392207"/>
            <w:r>
              <w:rPr>
                <w:rFonts w:hint="default" w:ascii="Times New Roman" w:hAnsi="Calibri" w:eastAsia="宋体" w:cs="Times New Roman"/>
                <w:kern w:val="2"/>
                <w:sz w:val="21"/>
                <w:szCs w:val="22"/>
                <w:lang w:val="en-US" w:eastAsia="zh-CN" w:bidi="ar-SA"/>
              </w:rPr>
              <w:t>24V+</w:t>
            </w:r>
            <w:bookmarkEnd w:id="45"/>
          </w:p>
        </w:tc>
      </w:tr>
      <w:tr w14:paraId="45B6D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3166607B">
            <w:pPr>
              <w:jc w:val="center"/>
              <w:rPr>
                <w:rFonts w:hint="default"/>
                <w:lang w:val="en-US"/>
              </w:rPr>
            </w:pPr>
            <w:bookmarkStart w:id="46" w:name="_Toc90392208"/>
            <w:r>
              <w:rPr>
                <w:rFonts w:ascii="Times New Roman" w:hAnsi="Calibri" w:eastAsia="宋体" w:cs="Times New Roman"/>
                <w:kern w:val="2"/>
                <w:sz w:val="21"/>
                <w:szCs w:val="22"/>
                <w:lang w:val="en-US" w:eastAsia="zh-CN" w:bidi="ar-SA"/>
              </w:rPr>
              <w:t>-</w:t>
            </w:r>
            <w:bookmarkEnd w:id="46"/>
          </w:p>
        </w:tc>
        <w:tc>
          <w:tcPr>
            <w:tcW w:w="2438" w:type="dxa"/>
            <w:noWrap w:val="0"/>
            <w:vAlign w:val="top"/>
          </w:tcPr>
          <w:p w14:paraId="55D08484">
            <w:pPr>
              <w:jc w:val="center"/>
              <w:rPr>
                <w:rFonts w:hint="default"/>
                <w:lang w:val="en-US"/>
              </w:rPr>
            </w:pPr>
            <w:bookmarkStart w:id="47" w:name="_Toc90392209"/>
            <w:r>
              <w:rPr>
                <w:rFonts w:ascii="Times New Roman" w:hAnsi="Calibri" w:eastAsia="宋体" w:cs="Times New Roman"/>
                <w:kern w:val="2"/>
                <w:sz w:val="21"/>
                <w:szCs w:val="22"/>
                <w:lang w:val="en-US" w:eastAsia="zh-CN" w:bidi="ar-SA"/>
              </w:rPr>
              <w:t>24V-</w:t>
            </w:r>
            <w:bookmarkEnd w:id="47"/>
          </w:p>
        </w:tc>
      </w:tr>
      <w:tr w14:paraId="6CBD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noWrap w:val="0"/>
            <w:vAlign w:val="top"/>
          </w:tcPr>
          <w:p w14:paraId="6E63206E">
            <w:pPr>
              <w:jc w:val="center"/>
              <w:rPr>
                <w:rFonts w:hint="default"/>
                <w:lang w:val="en-US"/>
              </w:rPr>
            </w:pPr>
            <w:bookmarkStart w:id="48" w:name="_Toc90392210"/>
            <w:r>
              <w:rPr>
                <w:rFonts w:hint="default" w:ascii="Times New Roman" w:hAnsi="Calibri" w:eastAsia="宋体" w:cs="Times New Roman"/>
                <w:kern w:val="2"/>
                <w:sz w:val="21"/>
                <w:szCs w:val="22"/>
                <w:lang w:val="en-US" w:eastAsia="zh-CN" w:bidi="ar-SA"/>
              </w:rPr>
              <w:t>S</w:t>
            </w:r>
            <w:bookmarkEnd w:id="48"/>
          </w:p>
        </w:tc>
        <w:tc>
          <w:tcPr>
            <w:tcW w:w="2438" w:type="dxa"/>
            <w:noWrap w:val="0"/>
            <w:vAlign w:val="top"/>
          </w:tcPr>
          <w:p w14:paraId="33C8D7C7">
            <w:pPr>
              <w:jc w:val="center"/>
              <w:rPr>
                <w:rFonts w:hint="default"/>
                <w:lang w:val="en-US"/>
              </w:rPr>
            </w:pPr>
            <w:bookmarkStart w:id="49" w:name="_Toc90392211"/>
            <w:r>
              <w:rPr>
                <w:rFonts w:hint="default" w:ascii="Times New Roman" w:hAnsi="Calibri" w:eastAsia="宋体" w:cs="Times New Roman"/>
                <w:kern w:val="2"/>
                <w:sz w:val="21"/>
                <w:szCs w:val="22"/>
                <w:lang w:val="en-US" w:eastAsia="zh-CN" w:bidi="ar-SA"/>
              </w:rPr>
              <w:t>4-20mA</w:t>
            </w:r>
            <w:bookmarkEnd w:id="49"/>
          </w:p>
        </w:tc>
      </w:tr>
    </w:tbl>
    <w:p w14:paraId="26E03897">
      <w:pPr>
        <w:pStyle w:val="4"/>
        <w:spacing w:before="240" w:after="240" w:line="240" w:lineRule="auto"/>
        <w:rPr>
          <w:rFonts w:hint="default" w:ascii="宋体" w:hAnsi="宋体"/>
          <w:bCs w:val="0"/>
          <w:lang w:val="en-US"/>
        </w:rPr>
      </w:pPr>
      <w:bookmarkStart w:id="50" w:name="_Toc90393115"/>
      <w:r>
        <w:rPr>
          <w:rFonts w:hint="default" w:ascii="Times New Roman" w:hAnsi="宋体" w:eastAsia="宋体" w:cs="Times New Roman"/>
          <w:b/>
          <w:bCs w:val="0"/>
          <w:kern w:val="2"/>
          <w:sz w:val="32"/>
          <w:szCs w:val="32"/>
          <w:lang w:val="en-US" w:eastAsia="zh-CN" w:bidi="ar-SA"/>
        </w:rPr>
        <w:t>4.6 Precauciones de instalación</w:t>
      </w:r>
      <w:bookmarkEnd w:id="50"/>
    </w:p>
    <w:p w14:paraId="5B0EFC73">
      <w:pPr>
        <w:rPr>
          <w:rFonts w:hint="default"/>
          <w:lang w:val="en-US"/>
        </w:rPr>
      </w:pPr>
      <w:r>
        <w:rPr>
          <w:rFonts w:hint="default" w:ascii="Times New Roman" w:hAnsi="Calibri" w:eastAsia="宋体" w:cs="Times New Roman"/>
          <w:kern w:val="2"/>
          <w:sz w:val="21"/>
          <w:szCs w:val="22"/>
          <w:lang w:val="en-US" w:eastAsia="zh-CN" w:bidi="ar-SA"/>
        </w:rPr>
        <w:t>1) Durante la instalación, queda estrictamente prohibido operar equipos con tensión;</w:t>
      </w:r>
    </w:p>
    <w:p w14:paraId="2A35DCBF">
      <w:pPr>
        <w:rPr>
          <w:rFonts w:hint="default"/>
          <w:lang w:val="en-US"/>
        </w:rPr>
      </w:pPr>
      <w:r>
        <w:rPr>
          <w:rFonts w:hint="default" w:ascii="Times New Roman" w:hAnsi="Calibri" w:eastAsia="宋体" w:cs="Times New Roman"/>
          <w:kern w:val="2"/>
          <w:sz w:val="21"/>
          <w:szCs w:val="22"/>
          <w:lang w:val="en-US" w:eastAsia="zh-CN" w:bidi="ar-SA"/>
        </w:rPr>
        <w:t>2) Este producto está clasificado como equipo de precisión. Deben utilizarse herramientas profesionales durante el desmontaje y el montaje. Quedan estrictamente prohibidas infracciones como la manipulación brusca o el funcionamiento inadecuado.</w:t>
      </w:r>
    </w:p>
    <w:p w14:paraId="17B4C247">
      <w:pPr>
        <w:rPr>
          <w:rFonts w:hint="default"/>
          <w:lang w:val="en-US"/>
        </w:rPr>
      </w:pPr>
      <w:r>
        <w:rPr>
          <w:rFonts w:hint="default" w:ascii="Times New Roman" w:hAnsi="Calibri" w:eastAsia="宋体" w:cs="Times New Roman"/>
          <w:kern w:val="2"/>
          <w:sz w:val="21"/>
          <w:szCs w:val="22"/>
          <w:lang w:val="en-US" w:eastAsia="zh-CN" w:bidi="ar-SA"/>
        </w:rPr>
        <w:t>3) Durante la instalación, la luz solar no debe incidir directamente sobre la lente de la sonda.</w:t>
      </w:r>
    </w:p>
    <w:p w14:paraId="16875701">
      <w:pPr>
        <w:rPr>
          <w:rFonts w:hint="default"/>
          <w:lang w:val="en-US"/>
        </w:rPr>
      </w:pPr>
      <w:r>
        <w:rPr>
          <w:rFonts w:hint="default" w:ascii="Times New Roman" w:hAnsi="Calibri" w:eastAsia="宋体" w:cs="Times New Roman"/>
          <w:kern w:val="2"/>
          <w:sz w:val="21"/>
          <w:szCs w:val="22"/>
          <w:lang w:val="en-US" w:eastAsia="zh-CN" w:bidi="ar-SA"/>
        </w:rPr>
        <w:t>4) No deben desmontarse los componentes internos del dispositivo de emisión para evitar daños o contaminación de las lentes, los circuitos y el láser internos.</w:t>
      </w:r>
    </w:p>
    <w:p w14:paraId="4C4EAACF">
      <w:pPr>
        <w:rPr>
          <w:rFonts w:hint="default"/>
          <w:lang w:val="en-US"/>
        </w:rPr>
      </w:pPr>
      <w:r>
        <w:rPr>
          <w:rFonts w:hint="default" w:ascii="Times New Roman" w:hAnsi="Calibri" w:eastAsia="宋体" w:cs="Times New Roman"/>
          <w:kern w:val="2"/>
          <w:sz w:val="21"/>
          <w:szCs w:val="22"/>
          <w:lang w:val="en-US" w:eastAsia="zh-CN" w:bidi="ar-SA"/>
        </w:rPr>
        <w:t>5) Queda estrictamente prohibido encender el dispositivo con frecuencia para evitar daños al láser.</w:t>
      </w:r>
    </w:p>
    <w:p w14:paraId="2EBE7428">
      <w:pPr>
        <w:rPr>
          <w:rFonts w:hint="default"/>
          <w:lang w:val="en-US"/>
        </w:rPr>
      </w:pPr>
      <w:r>
        <w:rPr>
          <w:rFonts w:hint="default" w:ascii="Times New Roman" w:hAnsi="Calibri" w:eastAsia="宋体" w:cs="Times New Roman"/>
          <w:kern w:val="2"/>
          <w:sz w:val="21"/>
          <w:szCs w:val="22"/>
          <w:lang w:val="en-US" w:eastAsia="zh-CN" w:bidi="ar-SA"/>
        </w:rPr>
        <w:t>6) El equipo debe conectarse a tierra durante la instalación.</w:t>
      </w:r>
    </w:p>
    <w:p w14:paraId="4C4B0828">
      <w:pPr>
        <w:rPr>
          <w:rFonts w:hint="default"/>
          <w:szCs w:val="21"/>
          <w:lang w:val="en-US"/>
        </w:rPr>
      </w:pPr>
      <w:r>
        <w:rPr>
          <w:rFonts w:hint="default" w:ascii="Times New Roman" w:hAnsi="Calibri" w:eastAsia="宋体" w:cs="Times New Roman"/>
          <w:kern w:val="2"/>
          <w:sz w:val="21"/>
          <w:szCs w:val="22"/>
          <w:lang w:val="en-US" w:eastAsia="zh-CN" w:bidi="ar-SA"/>
        </w:rPr>
        <w:t>7) Si el equipo presenta un fallo, apáguelo de inmediato, avise al personal técnico para su mantenimiento y póngase en contacto con los ingenieros de nuestra empresa para obtener asistencia técnica.</w:t>
      </w:r>
    </w:p>
    <w:p w14:paraId="72DD9D2D">
      <w:pPr>
        <w:pStyle w:val="2"/>
        <w:spacing w:before="240" w:after="240" w:line="240" w:lineRule="auto"/>
        <w:jc w:val="left"/>
        <w:rPr>
          <w:rFonts w:hint="default" w:ascii="宋体" w:hAnsi="宋体"/>
          <w:lang w:val="en-US"/>
        </w:rPr>
      </w:pPr>
      <w:bookmarkStart w:id="51" w:name="_Toc90392212"/>
      <w:bookmarkStart w:id="52" w:name="_Toc90393116"/>
      <w:r>
        <w:rPr>
          <w:rFonts w:hint="default" w:ascii="Times New Roman" w:hAnsi="宋体" w:eastAsia="宋体" w:cs="Times New Roman"/>
          <w:b/>
          <w:bCs/>
          <w:kern w:val="44"/>
          <w:sz w:val="44"/>
          <w:szCs w:val="44"/>
          <w:lang w:val="en-US" w:eastAsia="zh-CN" w:bidi="ar-SA"/>
        </w:rPr>
        <w:t>V. Factores que afectan a la precisión</w:t>
      </w:r>
      <w:bookmarkEnd w:id="51"/>
      <w:bookmarkEnd w:id="52"/>
    </w:p>
    <w:p w14:paraId="1920D72B">
      <w:pPr>
        <w:rPr>
          <w:rFonts w:hint="default" w:cs="仿宋"/>
          <w:lang w:val="en-US"/>
        </w:rPr>
      </w:pPr>
      <w:bookmarkStart w:id="53" w:name="_Toc90392213"/>
      <w:r>
        <w:rPr>
          <w:rFonts w:ascii="Times New Roman" w:hAnsi="Calibri" w:eastAsia="宋体" w:cs="仿宋"/>
          <w:kern w:val="2"/>
          <w:sz w:val="21"/>
          <w:szCs w:val="22"/>
          <w:lang w:val="en-US" w:eastAsia="zh-CN" w:bidi="ar-SA"/>
        </w:rPr>
        <w:t>Factores generales que afectan a la precisión de la detección:</w:t>
      </w:r>
      <w:bookmarkEnd w:id="53"/>
      <w:r>
        <w:rPr>
          <w:rFonts w:ascii="Times New Roman" w:hAnsi="Calibri" w:eastAsia="宋体" w:cs="仿宋"/>
          <w:kern w:val="2"/>
          <w:sz w:val="21"/>
          <w:szCs w:val="22"/>
          <w:lang w:val="en-US" w:eastAsia="zh-CN" w:bidi="ar-SA"/>
        </w:rPr>
        <w:t/>
      </w:r>
      <w:r>
        <w:rPr>
          <w:rFonts w:ascii="Times New Roman" w:hAnsi="Calibri" w:eastAsia="宋体" w:cs="仿宋"/>
          <w:kern w:val="2"/>
          <w:sz w:val="21"/>
          <w:szCs w:val="22"/>
          <w:lang w:val="en-US" w:eastAsia="zh-CN" w:bidi="ar-SA"/>
        </w:rPr>
        <w:tab/>
      </w:r>
    </w:p>
    <w:p w14:paraId="3EFF2A97">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En entornos exteriores, la superficie del espejo del extremo receptor tiende a contaminarse, lo que debilita las señales y afecta a la precisión de la medición.</w:t>
      </w:r>
    </w:p>
    <w:p w14:paraId="2C576F4C">
      <w:pPr>
        <w:numPr>
          <w:ilvl w:val="0"/>
          <w:numId w:val="1"/>
        </w:numPr>
        <w:ind w:left="0" w:leftChars="0" w:firstLine="0" w:firstLineChars="0"/>
        <w:rPr>
          <w:rFonts w:hint="eastAsia" w:ascii="宋体" w:hAnsi="宋体" w:cs="宋体"/>
        </w:rPr>
      </w:pPr>
      <w:r>
        <w:rPr>
          <w:rFonts w:hint="default" w:ascii="Times New Roman" w:hAnsi="宋体" w:eastAsia="宋体" w:cs="宋体"/>
          <w:kern w:val="2"/>
          <w:sz w:val="21"/>
          <w:szCs w:val="22"/>
          <w:lang w:val="en-US" w:eastAsia="zh-CN" w:bidi="ar-SA"/>
        </w:rPr>
        <w:t>Cuando las temperaturas son altas o las velocidades del viento son fuertes, la difusión del gas se produce más rápidamente. En consecuencia, cuando los volúmenes de fuga son mínimos, el gas que escapa no puede contenerse eficazmente, lo que puede provocar desviaciones significativas en los valores de detección.</w:t>
      </w:r>
    </w:p>
    <w:p w14:paraId="1DD4E447">
      <w:pPr>
        <w:numPr>
          <w:ilvl w:val="0"/>
          <w:numId w:val="1"/>
        </w:numPr>
        <w:ind w:left="0" w:leftChars="0" w:firstLine="0" w:firstLineChars="0"/>
        <w:rPr>
          <w:rFonts w:ascii="宋体" w:hAnsi="宋体" w:cs="宋体"/>
        </w:rPr>
      </w:pPr>
      <w:r>
        <w:rPr>
          <w:rFonts w:hint="default" w:ascii="Times New Roman" w:hAnsi="宋体" w:eastAsia="宋体" w:cs="宋体"/>
          <w:kern w:val="2"/>
          <w:sz w:val="21"/>
          <w:szCs w:val="22"/>
          <w:lang w:val="en-US" w:eastAsia="zh-CN" w:bidi="ar-SA"/>
        </w:rPr>
        <w:t>En condiciones meteorológicas adversas, como niebla densa o neblina intensa, la recepción de la señal óptica puede verse debilitada, lo que afecta a la precisión de la medición y al funcionamiento normal.</w:t>
      </w:r>
    </w:p>
    <w:p w14:paraId="460F87A5">
      <w:pPr>
        <w:pStyle w:val="2"/>
        <w:rPr>
          <w:rFonts w:hint="default"/>
          <w:lang w:val="en-US"/>
        </w:rPr>
      </w:pPr>
      <w:bookmarkStart w:id="54" w:name="_Toc422909549"/>
      <w:bookmarkStart w:id="55" w:name="_Toc422918644"/>
      <w:bookmarkStart w:id="56" w:name="_Toc90393117"/>
      <w:bookmarkStart w:id="57" w:name="_Toc90392214"/>
      <w:r>
        <w:rPr>
          <w:rFonts w:hint="default" w:ascii="Times New Roman" w:hAnsi="Calibri" w:eastAsia="宋体" w:cs="Times New Roman"/>
          <w:b/>
          <w:bCs/>
          <w:kern w:val="44"/>
          <w:sz w:val="44"/>
          <w:szCs w:val="44"/>
          <w:lang w:val="en-US" w:eastAsia="zh-CN" w:bidi="ar-SA"/>
        </w:rPr>
        <w:t>VI. Solución de fallos comunes</w:t>
      </w:r>
      <w:bookmarkEnd w:id="54"/>
      <w:bookmarkEnd w:id="55"/>
      <w:bookmarkEnd w:id="56"/>
      <w:bookmarkEnd w:id="57"/>
    </w:p>
    <w:p w14:paraId="1B3584AB">
      <w:pPr>
        <w:rPr>
          <w:rFonts w:hint="default" w:ascii="宋体" w:hAnsi="宋体" w:cs="仿宋"/>
          <w:lang w:val="en-US"/>
        </w:rPr>
      </w:pPr>
      <w:r>
        <w:rPr>
          <w:rFonts w:hint="default" w:ascii="Times New Roman" w:hAnsi="宋体" w:eastAsia="宋体" w:cs="仿宋"/>
          <w:kern w:val="2"/>
          <w:sz w:val="21"/>
          <w:szCs w:val="22"/>
          <w:lang w:val="en-US" w:eastAsia="zh-CN" w:bidi="ar-SA"/>
        </w:rPr>
        <w:t>Fallos comunes del equipo y sus soluciones:</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813"/>
        <w:gridCol w:w="2173"/>
        <w:gridCol w:w="3209"/>
      </w:tblGrid>
      <w:tr w14:paraId="6BD190B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813" w:type="dxa"/>
            <w:shd w:val="pct10" w:color="auto" w:fill="auto"/>
            <w:noWrap w:val="0"/>
            <w:vAlign w:val="center"/>
          </w:tcPr>
          <w:p w14:paraId="29211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pregunta</w:t>
            </w:r>
          </w:p>
        </w:tc>
        <w:tc>
          <w:tcPr>
            <w:tcW w:w="2173" w:type="dxa"/>
            <w:shd w:val="pct10" w:color="auto" w:fill="auto"/>
            <w:noWrap w:val="0"/>
            <w:vAlign w:val="center"/>
          </w:tcPr>
          <w:p w14:paraId="42AB1E9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causa probable</w:t>
            </w:r>
          </w:p>
        </w:tc>
        <w:tc>
          <w:tcPr>
            <w:tcW w:w="3209" w:type="dxa"/>
            <w:shd w:val="pct10" w:color="auto" w:fill="auto"/>
            <w:noWrap w:val="0"/>
            <w:vAlign w:val="center"/>
          </w:tcPr>
          <w:p w14:paraId="75A0FA61">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solución</w:t>
            </w:r>
          </w:p>
        </w:tc>
      </w:tr>
      <w:tr w14:paraId="0F7223D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25840E63">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El instrumento no funciona.</w:t>
            </w:r>
          </w:p>
        </w:tc>
        <w:tc>
          <w:tcPr>
            <w:tcW w:w="2173" w:type="dxa"/>
            <w:tcBorders>
              <w:bottom w:val="single" w:color="auto" w:sz="4" w:space="0"/>
            </w:tcBorders>
            <w:noWrap w:val="0"/>
            <w:vAlign w:val="center"/>
          </w:tcPr>
          <w:p w14:paraId="174AC76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El dispositivo no está alimentado.</w:t>
            </w:r>
          </w:p>
        </w:tc>
        <w:tc>
          <w:tcPr>
            <w:tcW w:w="3209" w:type="dxa"/>
            <w:tcBorders>
              <w:bottom w:val="single" w:color="auto" w:sz="4" w:space="0"/>
            </w:tcBorders>
            <w:noWrap w:val="0"/>
            <w:vAlign w:val="center"/>
          </w:tcPr>
          <w:p w14:paraId="2178964C">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Compruebe si la fuente de alimentación funciona correctamente</w:t>
            </w:r>
          </w:p>
        </w:tc>
      </w:tr>
      <w:tr w14:paraId="586F721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813" w:type="dxa"/>
            <w:noWrap w:val="0"/>
            <w:vAlign w:val="center"/>
          </w:tcPr>
          <w:p w14:paraId="0EACEF57">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salida 2mA</w:t>
            </w:r>
          </w:p>
        </w:tc>
        <w:tc>
          <w:tcPr>
            <w:tcW w:w="2173" w:type="dxa"/>
            <w:tcBorders>
              <w:bottom w:val="single" w:color="auto" w:sz="4" w:space="0"/>
            </w:tcBorders>
            <w:noWrap w:val="0"/>
            <w:vAlign w:val="center"/>
          </w:tcPr>
          <w:p w14:paraId="0DEC72E5">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La intensidad de luz del dispositivo es demasiado fuerte o demasiado débil.</w:t>
            </w:r>
          </w:p>
        </w:tc>
        <w:tc>
          <w:tcPr>
            <w:tcW w:w="3209" w:type="dxa"/>
            <w:tcBorders>
              <w:bottom w:val="single" w:color="auto" w:sz="4" w:space="0"/>
            </w:tcBorders>
            <w:noWrap w:val="0"/>
            <w:vAlign w:val="center"/>
          </w:tcPr>
          <w:p w14:paraId="5AA04C33">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Ajuste el dispositivo de emisión y su ángulo</w:t>
            </w:r>
          </w:p>
        </w:tc>
      </w:tr>
      <w:tr w14:paraId="3F36D8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1813" w:type="dxa"/>
            <w:noWrap w:val="0"/>
            <w:vAlign w:val="center"/>
          </w:tcPr>
          <w:p w14:paraId="3AD05514">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Recepción del terminal de usuario</w:t>
            </w:r>
          </w:p>
          <w:p w14:paraId="6EB68B73">
            <w:pPr>
              <w:ind w:left="630" w:hanging="630" w:hangingChars="300"/>
              <w:jc w:val="center"/>
              <w:rPr>
                <w:rFonts w:hint="default" w:ascii="宋体" w:hAnsi="宋体" w:cs="宋体"/>
                <w:lang w:val="en-US"/>
              </w:rPr>
            </w:pPr>
            <w:r>
              <w:rPr>
                <w:rFonts w:hint="default" w:ascii="Times New Roman" w:hAnsi="宋体" w:eastAsia="宋体" w:cs="宋体"/>
                <w:kern w:val="2"/>
                <w:sz w:val="21"/>
                <w:szCs w:val="22"/>
                <w:lang w:val="en-US" w:eastAsia="zh-CN" w:bidi="ar-SA"/>
              </w:rPr>
              <w:t>Datos no disponibles</w:t>
            </w:r>
          </w:p>
        </w:tc>
        <w:tc>
          <w:tcPr>
            <w:tcW w:w="2173" w:type="dxa"/>
            <w:noWrap w:val="0"/>
            <w:vAlign w:val="center"/>
          </w:tcPr>
          <w:p w14:paraId="0D4EBDDA">
            <w:pPr>
              <w:jc w:val="center"/>
              <w:rPr>
                <w:rFonts w:hint="default" w:ascii="宋体" w:hAnsi="宋体" w:cs="宋体"/>
                <w:lang w:val="en-US"/>
              </w:rPr>
            </w:pPr>
            <w:r>
              <w:rPr>
                <w:rFonts w:hint="default" w:ascii="Times New Roman" w:hAnsi="宋体" w:eastAsia="宋体" w:cs="宋体"/>
                <w:kern w:val="2"/>
                <w:sz w:val="21"/>
                <w:szCs w:val="22"/>
                <w:lang w:val="en-US" w:eastAsia="zh-CN" w:bidi="ar-SA"/>
              </w:rPr>
              <w:t>Fallo de conexión de comunicación</w:t>
            </w:r>
          </w:p>
        </w:tc>
        <w:tc>
          <w:tcPr>
            <w:tcW w:w="3209" w:type="dxa"/>
            <w:tcBorders>
              <w:bottom w:val="single" w:color="auto" w:sz="4" w:space="0"/>
            </w:tcBorders>
            <w:noWrap w:val="0"/>
            <w:vAlign w:val="center"/>
          </w:tcPr>
          <w:p w14:paraId="013BFBAD">
            <w:pPr>
              <w:numPr>
                <w:ilvl w:val="0"/>
                <w:numId w:val="2"/>
              </w:numPr>
              <w:ind w:left="420" w:leftChars="0" w:hanging="420" w:firstLineChars="0"/>
              <w:rPr>
                <w:rFonts w:hint="eastAsia" w:ascii="宋体" w:hAnsi="宋体" w:cs="宋体"/>
              </w:rPr>
            </w:pPr>
            <w:r>
              <w:rPr>
                <w:rFonts w:hint="default" w:ascii="Times New Roman" w:hAnsi="宋体" w:eastAsia="宋体" w:cs="宋体"/>
                <w:kern w:val="2"/>
                <w:sz w:val="21"/>
                <w:szCs w:val="22"/>
                <w:lang w:val="en-US" w:eastAsia="zh-CN" w:bidi="ar-SA"/>
              </w:rPr>
              <w:t>Compruebe si el cableado de la interfaz es correcto</w:t>
            </w:r>
          </w:p>
        </w:tc>
      </w:tr>
    </w:tbl>
    <w:p w14:paraId="1AF3413A">
      <w:pPr>
        <w:pStyle w:val="2"/>
        <w:spacing w:before="240" w:after="240" w:line="240" w:lineRule="auto"/>
        <w:jc w:val="left"/>
        <w:rPr>
          <w:rFonts w:hint="default" w:ascii="宋体" w:hAnsi="宋体"/>
          <w:lang w:val="en-US"/>
        </w:rPr>
      </w:pPr>
      <w:bookmarkStart w:id="58" w:name="_Toc422918645"/>
      <w:bookmarkStart w:id="59" w:name="_Toc422909550"/>
      <w:bookmarkStart w:id="60" w:name="_Toc90393118"/>
      <w:bookmarkStart w:id="61" w:name="_Toc90392215"/>
      <w:r>
        <w:rPr>
          <w:rFonts w:hint="default" w:ascii="Times New Roman" w:hAnsi="宋体" w:eastAsia="宋体" w:cs="Times New Roman"/>
          <w:b/>
          <w:bCs/>
          <w:kern w:val="44"/>
          <w:sz w:val="44"/>
          <w:szCs w:val="44"/>
          <w:lang w:val="en-US" w:eastAsia="zh-CN" w:bidi="ar-SA"/>
        </w:rPr>
        <w:t>VII. Apéndice</w:t>
      </w:r>
      <w:bookmarkEnd w:id="58"/>
      <w:bookmarkEnd w:id="59"/>
      <w:bookmarkEnd w:id="60"/>
      <w:bookmarkEnd w:id="61"/>
    </w:p>
    <w:p w14:paraId="3C21BB16">
      <w:pPr>
        <w:pStyle w:val="4"/>
        <w:spacing w:before="240" w:after="240" w:line="240" w:lineRule="auto"/>
        <w:rPr>
          <w:rFonts w:hint="default" w:ascii="宋体" w:hAnsi="宋体"/>
          <w:lang w:val="en-US"/>
        </w:rPr>
      </w:pPr>
      <w:bookmarkStart w:id="62" w:name="_Toc422918646"/>
      <w:bookmarkStart w:id="63" w:name="_Toc90393119"/>
      <w:bookmarkStart w:id="64" w:name="_Toc422909551"/>
      <w:r>
        <w:rPr>
          <w:rFonts w:hint="default" w:ascii="Times New Roman" w:hAnsi="宋体" w:eastAsia="宋体" w:cs="Times New Roman"/>
          <w:b/>
          <w:bCs/>
          <w:kern w:val="2"/>
          <w:sz w:val="32"/>
          <w:szCs w:val="32"/>
          <w:lang w:val="en-US" w:eastAsia="zh-CN" w:bidi="ar-SA"/>
        </w:rPr>
        <w:t>7.1 Mantenimiento y cuidado diarios</w:t>
      </w:r>
      <w:bookmarkEnd w:id="62"/>
      <w:bookmarkEnd w:id="63"/>
      <w:bookmarkEnd w:id="64"/>
    </w:p>
    <w:p w14:paraId="3F053804">
      <w:pPr>
        <w:ind w:firstLine="420" w:firstLineChars="200"/>
        <w:rPr>
          <w:rFonts w:hint="default" w:ascii="宋体" w:hAnsi="宋体" w:cs="宋体"/>
          <w:lang w:val="en-US"/>
        </w:rPr>
      </w:pPr>
      <w:r>
        <w:rPr>
          <w:rFonts w:hint="default" w:ascii="Times New Roman" w:hAnsi="宋体" w:eastAsia="宋体" w:cs="宋体"/>
          <w:kern w:val="2"/>
          <w:sz w:val="21"/>
          <w:szCs w:val="22"/>
          <w:lang w:val="en-US" w:eastAsia="zh-CN" w:bidi="ar-SA"/>
        </w:rPr>
        <w:t>Para mantener el instrumento en óptimas condiciones, realice el mantenimiento diario del siguiente modo.</w:t>
      </w:r>
    </w:p>
    <w:tbl>
      <w:tblPr>
        <w:tblStyle w:val="16"/>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6295"/>
      </w:tblGrid>
      <w:tr w14:paraId="2C02CF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82" w:hRule="atLeast"/>
          <w:jc w:val="center"/>
        </w:trPr>
        <w:tc>
          <w:tcPr>
            <w:tcW w:w="880" w:type="dxa"/>
            <w:vMerge w:val="restart"/>
            <w:noWrap w:val="0"/>
            <w:vAlign w:val="center"/>
          </w:tcPr>
          <w:p w14:paraId="4FF25418">
            <w:pPr>
              <w:rPr>
                <w:rFonts w:hint="default" w:ascii="宋体" w:hAnsi="宋体" w:cs="宋体"/>
                <w:lang w:val="en-US"/>
              </w:rPr>
            </w:pPr>
            <w:r>
              <w:rPr>
                <w:rFonts w:hint="default" w:ascii="Times New Roman" w:hAnsi="宋体" w:eastAsia="宋体" w:cs="宋体"/>
                <w:kern w:val="2"/>
                <w:sz w:val="21"/>
                <w:szCs w:val="22"/>
                <w:lang w:val="en-US" w:eastAsia="zh-CN" w:bidi="ar-SA"/>
              </w:rPr>
              <w:t>cuerpo</w:t>
            </w:r>
          </w:p>
        </w:tc>
        <w:tc>
          <w:tcPr>
            <w:tcW w:w="6295" w:type="dxa"/>
            <w:noWrap w:val="0"/>
            <w:vAlign w:val="center"/>
          </w:tcPr>
          <w:p w14:paraId="0F0CEE03">
            <w:pPr>
              <w:rPr>
                <w:rFonts w:hint="default" w:ascii="宋体" w:hAnsi="宋体" w:cs="宋体"/>
                <w:lang w:val="en-US"/>
              </w:rPr>
            </w:pPr>
            <w:r>
              <w:rPr>
                <w:rFonts w:hint="default" w:ascii="Times New Roman" w:hAnsi="宋体" w:eastAsia="宋体" w:cs="宋体"/>
                <w:kern w:val="2"/>
                <w:sz w:val="21"/>
                <w:szCs w:val="22"/>
                <w:lang w:val="en-US" w:eastAsia="zh-CN" w:bidi="ar-SA"/>
              </w:rPr>
              <w:t>Limpie el dispositivo con un paño suave y limpio u otro paño especializado cuando esté apagado.</w:t>
            </w:r>
          </w:p>
        </w:tc>
      </w:tr>
      <w:tr w14:paraId="22C83A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880" w:type="dxa"/>
            <w:vMerge w:val="continue"/>
            <w:shd w:val="clear" w:color="auto" w:fill="auto"/>
            <w:noWrap w:val="0"/>
            <w:vAlign w:val="center"/>
          </w:tcPr>
          <w:p w14:paraId="34307615">
            <w:pPr>
              <w:rPr>
                <w:rFonts w:hint="eastAsia" w:ascii="宋体" w:hAnsi="宋体" w:cs="宋体"/>
              </w:rPr>
            </w:pPr>
          </w:p>
        </w:tc>
        <w:tc>
          <w:tcPr>
            <w:tcW w:w="6295" w:type="dxa"/>
            <w:shd w:val="pct10" w:color="auto" w:fill="auto"/>
            <w:noWrap w:val="0"/>
            <w:vAlign w:val="center"/>
          </w:tcPr>
          <w:p w14:paraId="30B431D5">
            <w:pPr>
              <w:rPr>
                <w:rFonts w:hint="default" w:ascii="宋体" w:hAnsi="宋体" w:cs="宋体"/>
                <w:lang w:val="en-US"/>
              </w:rPr>
            </w:pPr>
            <w:r>
              <w:rPr>
                <w:rFonts w:hint="default" w:ascii="Times New Roman" w:hAnsi="宋体" w:eastAsia="宋体" w:cs="宋体"/>
                <w:kern w:val="2"/>
                <w:sz w:val="21"/>
                <w:szCs w:val="22"/>
                <w:lang w:val="en-US" w:eastAsia="zh-CN" w:bidi="ar-SA"/>
              </w:rPr>
              <w:t>Advertencia: No utilice benceno, disolventes, disolventes orgánicos gaseosos ni agua para limpiar los instrumentos, a fin de evitar daños.</w:t>
            </w:r>
          </w:p>
        </w:tc>
      </w:tr>
      <w:tr w14:paraId="736DE99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8" w:hRule="atLeast"/>
          <w:jc w:val="center"/>
        </w:trPr>
        <w:tc>
          <w:tcPr>
            <w:tcW w:w="880" w:type="dxa"/>
            <w:vMerge w:val="restart"/>
            <w:noWrap w:val="0"/>
            <w:vAlign w:val="center"/>
          </w:tcPr>
          <w:p w14:paraId="34F77357">
            <w:pPr>
              <w:rPr>
                <w:rFonts w:hint="default" w:ascii="宋体" w:hAnsi="宋体" w:cs="宋体"/>
                <w:lang w:val="en-US"/>
              </w:rPr>
            </w:pPr>
            <w:r>
              <w:rPr>
                <w:rFonts w:hint="default" w:ascii="Times New Roman" w:hAnsi="宋体" w:eastAsia="宋体" w:cs="宋体"/>
                <w:kern w:val="2"/>
                <w:sz w:val="21"/>
                <w:szCs w:val="22"/>
                <w:lang w:val="en-US" w:eastAsia="zh-CN" w:bidi="ar-SA"/>
              </w:rPr>
              <w:t>superficie del espejo</w:t>
            </w:r>
          </w:p>
        </w:tc>
        <w:tc>
          <w:tcPr>
            <w:tcW w:w="6295" w:type="dxa"/>
            <w:noWrap w:val="0"/>
            <w:vAlign w:val="center"/>
          </w:tcPr>
          <w:p w14:paraId="1E79AFF1">
            <w:pPr>
              <w:rPr>
                <w:rFonts w:hint="default" w:ascii="宋体" w:hAnsi="宋体" w:cs="宋体"/>
                <w:lang w:val="en-US"/>
              </w:rPr>
            </w:pPr>
            <w:r>
              <w:rPr>
                <w:rFonts w:hint="default" w:ascii="Times New Roman" w:hAnsi="宋体" w:eastAsia="宋体" w:cs="宋体"/>
                <w:kern w:val="2"/>
                <w:sz w:val="21"/>
                <w:szCs w:val="22"/>
                <w:lang w:val="en-US" w:eastAsia="zh-CN" w:bidi="ar-SA"/>
              </w:rPr>
              <w:t>Limpie suavemente la superficie del espejo con un paño de limpieza específico o un paño suave y limpio.</w:t>
            </w:r>
          </w:p>
        </w:tc>
      </w:tr>
      <w:tr w14:paraId="5A1D4D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74" w:hRule="atLeast"/>
          <w:jc w:val="center"/>
        </w:trPr>
        <w:tc>
          <w:tcPr>
            <w:tcW w:w="880" w:type="dxa"/>
            <w:vMerge w:val="continue"/>
            <w:shd w:val="clear" w:color="auto" w:fill="auto"/>
            <w:noWrap w:val="0"/>
            <w:vAlign w:val="center"/>
          </w:tcPr>
          <w:p w14:paraId="28E0B6D7">
            <w:pPr>
              <w:rPr>
                <w:rFonts w:hint="eastAsia" w:ascii="宋体" w:hAnsi="宋体" w:cs="宋体"/>
              </w:rPr>
            </w:pPr>
          </w:p>
        </w:tc>
        <w:tc>
          <w:tcPr>
            <w:tcW w:w="6295" w:type="dxa"/>
            <w:shd w:val="pct10" w:color="auto" w:fill="auto"/>
            <w:noWrap w:val="0"/>
            <w:vAlign w:val="center"/>
          </w:tcPr>
          <w:p w14:paraId="5FBDAE50">
            <w:pPr>
              <w:rPr>
                <w:rFonts w:hint="default" w:ascii="宋体" w:hAnsi="宋体" w:cs="宋体"/>
                <w:lang w:val="en-US"/>
              </w:rPr>
            </w:pPr>
            <w:r>
              <w:rPr>
                <w:rFonts w:hint="default" w:ascii="Times New Roman" w:hAnsi="宋体" w:eastAsia="宋体" w:cs="宋体"/>
                <w:kern w:val="2"/>
                <w:sz w:val="21"/>
                <w:szCs w:val="22"/>
                <w:lang w:val="en-US" w:eastAsia="zh-CN" w:bidi="ar-SA"/>
              </w:rPr>
              <w:t>Nota: No limpie la lente con las manos ni con otros paños sucios para evitar arañar la superficie.</w:t>
            </w:r>
          </w:p>
        </w:tc>
      </w:tr>
    </w:tbl>
    <w:p w14:paraId="034225A5">
      <w:pPr>
        <w:rPr>
          <w:rFonts w:hint="eastAsia" w:ascii="宋体" w:hAnsi="宋体" w:cs="宋体"/>
        </w:rPr>
      </w:pPr>
    </w:p>
    <w:p w14:paraId="3DCE56E8">
      <w:pPr>
        <w:pStyle w:val="4"/>
        <w:spacing w:before="240" w:after="240" w:line="240" w:lineRule="auto"/>
        <w:rPr>
          <w:rFonts w:hint="default" w:ascii="宋体" w:hAnsi="宋体"/>
          <w:lang w:val="en-US"/>
        </w:rPr>
      </w:pPr>
      <w:bookmarkStart w:id="65" w:name="_Toc422909552"/>
      <w:bookmarkStart w:id="66" w:name="_Toc90393120"/>
      <w:bookmarkStart w:id="67" w:name="_Toc422918647"/>
      <w:r>
        <w:rPr>
          <w:rFonts w:hint="default" w:ascii="Times New Roman" w:hAnsi="宋体" w:eastAsia="宋体" w:cs="Times New Roman"/>
          <w:b/>
          <w:bCs/>
          <w:kern w:val="2"/>
          <w:sz w:val="32"/>
          <w:szCs w:val="32"/>
          <w:lang w:val="en-US" w:eastAsia="zh-CN" w:bidi="ar-SA"/>
        </w:rPr>
        <w:t>7.2 Tabla de parámetros de rendimiento</w:t>
      </w:r>
      <w:bookmarkEnd w:id="65"/>
      <w:bookmarkEnd w:id="66"/>
      <w:bookmarkEnd w:id="67"/>
    </w:p>
    <w:tbl>
      <w:tblPr>
        <w:tblStyle w:val="16"/>
        <w:tblW w:w="7362"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75"/>
        <w:gridCol w:w="5587"/>
      </w:tblGrid>
      <w:tr w14:paraId="726830C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5053052">
            <w:pPr>
              <w:rPr>
                <w:rFonts w:hint="default" w:ascii="宋体" w:hAnsi="宋体" w:cs="黑体"/>
                <w:lang w:val="en-US"/>
              </w:rPr>
            </w:pPr>
            <w:r>
              <w:rPr>
                <w:rFonts w:hint="default" w:ascii="Times New Roman" w:hAnsi="宋体" w:eastAsia="宋体" w:cs="黑体"/>
                <w:kern w:val="2"/>
                <w:sz w:val="21"/>
                <w:szCs w:val="22"/>
                <w:lang w:val="en-US" w:eastAsia="zh-CN" w:bidi="ar-SA"/>
              </w:rPr>
              <w:t>parámetro de rendimiento</w:t>
            </w:r>
          </w:p>
        </w:tc>
      </w:tr>
      <w:tr w14:paraId="25DA8A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40D2C28">
            <w:pPr>
              <w:rPr>
                <w:rFonts w:hint="default" w:ascii="宋体" w:hAnsi="宋体" w:cs="宋体"/>
                <w:lang w:val="en-US"/>
              </w:rPr>
            </w:pPr>
            <w:r>
              <w:rPr>
                <w:rFonts w:hint="default" w:ascii="Times New Roman" w:hAnsi="宋体" w:eastAsia="宋体" w:cs="宋体"/>
                <w:kern w:val="2"/>
                <w:sz w:val="21"/>
                <w:szCs w:val="22"/>
                <w:lang w:val="en-US" w:eastAsia="zh-CN" w:bidi="ar-SA"/>
              </w:rPr>
              <w:t>Tipos de gases</w:t>
            </w:r>
          </w:p>
        </w:tc>
        <w:tc>
          <w:tcPr>
            <w:tcW w:w="5587" w:type="dxa"/>
            <w:noWrap w:val="0"/>
            <w:vAlign w:val="top"/>
          </w:tcPr>
          <w:p w14:paraId="4E856AD5">
            <w:pPr>
              <w:rPr>
                <w:rFonts w:hint="default" w:ascii="宋体" w:hAnsi="宋体" w:cs="宋体"/>
                <w:lang w:val="en-US"/>
              </w:rPr>
            </w:pPr>
            <w:r>
              <w:rPr>
                <w:rFonts w:hint="default" w:ascii="Times New Roman" w:hAnsi="宋体" w:eastAsia="宋体" w:cs="宋体"/>
                <w:kern w:val="2"/>
                <w:sz w:val="21"/>
                <w:szCs w:val="22"/>
                <w:lang w:val="en-US" w:eastAsia="zh-CN" w:bidi="ar-SA"/>
              </w:rPr>
              <w:t>Metano (CH4)</w:t>
            </w:r>
          </w:p>
        </w:tc>
      </w:tr>
      <w:tr w14:paraId="2946DCF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6CE82F8">
            <w:pPr>
              <w:rPr>
                <w:rFonts w:hint="default" w:ascii="宋体" w:hAnsi="宋体" w:cs="宋体"/>
                <w:lang w:val="en-US"/>
              </w:rPr>
            </w:pPr>
            <w:r>
              <w:rPr>
                <w:rFonts w:hint="default" w:ascii="Times New Roman" w:hAnsi="宋体" w:eastAsia="宋体" w:cs="宋体"/>
                <w:kern w:val="2"/>
                <w:sz w:val="21"/>
                <w:szCs w:val="22"/>
                <w:lang w:val="en-US" w:eastAsia="zh-CN" w:bidi="ar-SA"/>
              </w:rPr>
              <w:t>método de prueba</w:t>
            </w:r>
          </w:p>
        </w:tc>
        <w:tc>
          <w:tcPr>
            <w:tcW w:w="5587" w:type="dxa"/>
            <w:noWrap w:val="0"/>
            <w:vAlign w:val="top"/>
          </w:tcPr>
          <w:p w14:paraId="6CEC5884">
            <w:pPr>
              <w:rPr>
                <w:rFonts w:hint="default" w:ascii="宋体" w:hAnsi="宋体" w:cs="宋体"/>
                <w:lang w:val="en-US"/>
              </w:rPr>
            </w:pPr>
            <w:r>
              <w:rPr>
                <w:rFonts w:hint="default" w:ascii="Times New Roman" w:hAnsi="宋体" w:eastAsia="宋体" w:cs="宋体"/>
                <w:kern w:val="2"/>
                <w:sz w:val="21"/>
                <w:szCs w:val="22"/>
                <w:lang w:val="en-US" w:eastAsia="zh-CN" w:bidi="ar-SA"/>
              </w:rPr>
              <w:t>Tecnología de espectroscopia de absorción láser</w:t>
            </w:r>
          </w:p>
        </w:tc>
      </w:tr>
      <w:tr w14:paraId="397EECB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ECE92C0">
            <w:pPr>
              <w:rPr>
                <w:rFonts w:hint="default" w:ascii="宋体" w:hAnsi="宋体" w:cs="宋体"/>
                <w:lang w:val="en-US"/>
              </w:rPr>
            </w:pPr>
            <w:r>
              <w:rPr>
                <w:rFonts w:hint="default" w:ascii="Times New Roman" w:hAnsi="宋体" w:eastAsia="宋体" w:cs="宋体"/>
                <w:kern w:val="2"/>
                <w:sz w:val="21"/>
                <w:szCs w:val="22"/>
                <w:lang w:val="en-US" w:eastAsia="zh-CN" w:bidi="ar-SA"/>
              </w:rPr>
              <w:t>Rango de detección</w:t>
            </w:r>
          </w:p>
        </w:tc>
        <w:tc>
          <w:tcPr>
            <w:tcW w:w="5587" w:type="dxa"/>
            <w:noWrap w:val="0"/>
            <w:vAlign w:val="top"/>
          </w:tcPr>
          <w:p w14:paraId="71757BF5">
            <w:pPr>
              <w:rPr>
                <w:rFonts w:hint="default" w:ascii="宋体" w:hAnsi="宋体" w:cs="宋体"/>
                <w:lang w:val="en-US"/>
              </w:rPr>
            </w:pPr>
            <w:r>
              <w:rPr>
                <w:rFonts w:ascii="Times New Roman" w:hAnsi="宋体" w:eastAsia="宋体" w:cs="宋体"/>
                <w:kern w:val="2"/>
                <w:sz w:val="21"/>
                <w:szCs w:val="22"/>
                <w:lang w:val="en-US" w:eastAsia="zh-CN" w:bidi="ar-SA"/>
              </w:rPr>
              <w:t>0～5000ppm.m</w:t>
            </w:r>
          </w:p>
        </w:tc>
      </w:tr>
      <w:tr w14:paraId="3EB8D59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B017FD9">
            <w:pPr>
              <w:rPr>
                <w:rFonts w:hint="default" w:ascii="宋体" w:hAnsi="宋体" w:cs="宋体"/>
                <w:lang w:val="en-US"/>
              </w:rPr>
            </w:pPr>
            <w:r>
              <w:rPr>
                <w:rFonts w:hint="default" w:ascii="Times New Roman" w:hAnsi="宋体" w:eastAsia="宋体" w:cs="宋体"/>
                <w:kern w:val="2"/>
                <w:sz w:val="21"/>
                <w:szCs w:val="22"/>
                <w:lang w:val="en-US" w:eastAsia="zh-CN" w:bidi="ar-SA"/>
              </w:rPr>
              <w:t>Distancia de detección</w:t>
            </w:r>
          </w:p>
        </w:tc>
        <w:tc>
          <w:tcPr>
            <w:tcW w:w="5587" w:type="dxa"/>
            <w:noWrap w:val="0"/>
            <w:vAlign w:val="top"/>
          </w:tcPr>
          <w:p w14:paraId="347FFB82">
            <w:pPr>
              <w:rPr>
                <w:rFonts w:hint="default" w:ascii="宋体" w:hAnsi="宋体" w:cs="宋体"/>
                <w:lang w:val="en-US"/>
              </w:rPr>
            </w:pPr>
            <w:r>
              <w:rPr>
                <w:rFonts w:hint="default" w:ascii="Times New Roman" w:hAnsi="宋体" w:eastAsia="宋体" w:cs="宋体"/>
                <w:kern w:val="2"/>
                <w:sz w:val="21"/>
                <w:szCs w:val="22"/>
                <w:lang w:val="en-US" w:eastAsia="zh-CN" w:bidi="ar-SA"/>
              </w:rPr>
              <w:t>(0~100) metros</w:t>
            </w:r>
          </w:p>
        </w:tc>
      </w:tr>
      <w:tr w14:paraId="66D4E29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7CA46636">
            <w:pPr>
              <w:rPr>
                <w:rFonts w:hint="default" w:ascii="宋体" w:hAnsi="宋体" w:cs="宋体"/>
                <w:lang w:val="en-US"/>
              </w:rPr>
            </w:pPr>
            <w:r>
              <w:rPr>
                <w:rFonts w:hint="default" w:ascii="Times New Roman" w:hAnsi="宋体" w:eastAsia="宋体" w:cs="宋体"/>
                <w:kern w:val="2"/>
                <w:sz w:val="21"/>
                <w:szCs w:val="22"/>
                <w:lang w:val="en-US" w:eastAsia="zh-CN" w:bidi="ar-SA"/>
              </w:rPr>
              <w:t>tiempo de respuesta</w:t>
            </w:r>
          </w:p>
        </w:tc>
        <w:tc>
          <w:tcPr>
            <w:tcW w:w="5587" w:type="dxa"/>
            <w:noWrap w:val="0"/>
            <w:vAlign w:val="top"/>
          </w:tcPr>
          <w:p w14:paraId="7D53A3C4">
            <w:pPr>
              <w:rPr>
                <w:rFonts w:hint="default" w:ascii="宋体" w:hAnsi="宋体" w:cs="宋体"/>
                <w:lang w:val="en-US"/>
              </w:rPr>
            </w:pPr>
            <w:r>
              <w:rPr>
                <w:rFonts w:hint="default" w:ascii="Times New Roman" w:hAnsi="宋体" w:eastAsia="宋体" w:cs="宋体"/>
                <w:kern w:val="2"/>
                <w:sz w:val="21"/>
                <w:szCs w:val="22"/>
                <w:lang w:val="en-US" w:eastAsia="zh-CN" w:bidi="ar-SA"/>
              </w:rPr>
              <w:t>1 segundo</w:t>
            </w:r>
          </w:p>
        </w:tc>
      </w:tr>
      <w:tr w14:paraId="73080A9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03CF6C30">
            <w:pPr>
              <w:rPr>
                <w:rFonts w:hint="default" w:ascii="宋体" w:hAnsi="宋体" w:cs="黑体"/>
                <w:lang w:val="en-US"/>
              </w:rPr>
            </w:pPr>
            <w:r>
              <w:rPr>
                <w:rFonts w:hint="default" w:ascii="Times New Roman" w:hAnsi="宋体" w:eastAsia="宋体" w:cs="黑体"/>
                <w:kern w:val="2"/>
                <w:sz w:val="21"/>
                <w:szCs w:val="22"/>
                <w:lang w:val="en-US" w:eastAsia="zh-CN" w:bidi="ar-SA"/>
              </w:rPr>
              <w:t>parámetro funcional</w:t>
            </w:r>
          </w:p>
        </w:tc>
      </w:tr>
      <w:tr w14:paraId="7FACD4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1775" w:type="dxa"/>
            <w:noWrap w:val="0"/>
            <w:vAlign w:val="top"/>
          </w:tcPr>
          <w:p w14:paraId="1F392B57">
            <w:pPr>
              <w:rPr>
                <w:rFonts w:hint="default" w:ascii="宋体" w:hAnsi="宋体" w:cs="宋体"/>
                <w:lang w:val="en-US"/>
              </w:rPr>
            </w:pPr>
            <w:r>
              <w:rPr>
                <w:rFonts w:hint="default" w:ascii="Times New Roman" w:hAnsi="宋体" w:eastAsia="宋体" w:cs="宋体"/>
                <w:kern w:val="2"/>
                <w:sz w:val="21"/>
                <w:szCs w:val="22"/>
                <w:lang w:val="en-US" w:eastAsia="zh-CN" w:bidi="ar-SA"/>
              </w:rPr>
              <w:t>Método de salida</w:t>
            </w:r>
          </w:p>
        </w:tc>
        <w:tc>
          <w:tcPr>
            <w:tcW w:w="5587" w:type="dxa"/>
            <w:noWrap w:val="0"/>
            <w:vAlign w:val="top"/>
          </w:tcPr>
          <w:p w14:paraId="60C5E552">
            <w:pPr>
              <w:rPr>
                <w:rFonts w:hint="default" w:ascii="宋体" w:hAnsi="宋体" w:cs="宋体"/>
                <w:lang w:val="en-US"/>
              </w:rPr>
            </w:pPr>
            <w:r>
              <w:rPr>
                <w:rFonts w:hint="default" w:ascii="Times New Roman" w:hAnsi="宋体" w:eastAsia="宋体" w:cs="宋体"/>
                <w:kern w:val="2"/>
                <w:sz w:val="21"/>
                <w:szCs w:val="22"/>
                <w:lang w:val="en-US" w:eastAsia="zh-CN" w:bidi="ar-SA"/>
              </w:rPr>
              <w:t>4-20mA</w:t>
            </w:r>
          </w:p>
          <w:p w14:paraId="3B0FB799">
            <w:pPr>
              <w:rPr>
                <w:rFonts w:hint="default" w:ascii="宋体" w:hAnsi="宋体" w:cs="宋体"/>
                <w:lang w:val="en-US"/>
              </w:rPr>
            </w:pPr>
            <w:r>
              <w:rPr>
                <w:rFonts w:hint="default" w:ascii="Times New Roman" w:hAnsi="宋体" w:eastAsia="宋体" w:cs="宋体"/>
                <w:kern w:val="2"/>
                <w:sz w:val="21"/>
                <w:szCs w:val="22"/>
                <w:lang w:val="en-US" w:eastAsia="zh-CN" w:bidi="ar-SA"/>
              </w:rPr>
              <w:t>Obstrucción del haz o señal demasiado débil: 2mA</w:t>
            </w:r>
          </w:p>
        </w:tc>
      </w:tr>
      <w:tr w14:paraId="715D04C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04818B13">
            <w:pPr>
              <w:rPr>
                <w:rFonts w:hint="default" w:ascii="宋体" w:hAnsi="宋体" w:cs="宋体"/>
                <w:lang w:val="en-US"/>
              </w:rPr>
            </w:pPr>
            <w:r>
              <w:rPr>
                <w:rFonts w:hint="default" w:ascii="Times New Roman" w:hAnsi="宋体" w:eastAsia="宋体" w:cs="宋体"/>
                <w:kern w:val="2"/>
                <w:sz w:val="21"/>
                <w:szCs w:val="22"/>
                <w:lang w:val="en-US" w:eastAsia="zh-CN" w:bidi="ar-SA"/>
              </w:rPr>
              <w:t>demarcar</w:t>
            </w:r>
          </w:p>
        </w:tc>
        <w:tc>
          <w:tcPr>
            <w:tcW w:w="5587" w:type="dxa"/>
            <w:noWrap w:val="0"/>
            <w:vAlign w:val="top"/>
          </w:tcPr>
          <w:p w14:paraId="784FE0A6">
            <w:pPr>
              <w:rPr>
                <w:rFonts w:hint="default" w:ascii="宋体" w:hAnsi="宋体" w:cs="宋体"/>
                <w:lang w:val="en-US"/>
              </w:rPr>
            </w:pPr>
            <w:r>
              <w:rPr>
                <w:rFonts w:hint="default" w:ascii="Times New Roman" w:hAnsi="宋体" w:eastAsia="宋体" w:cs="宋体"/>
                <w:kern w:val="2"/>
                <w:sz w:val="21"/>
                <w:szCs w:val="22"/>
                <w:lang w:val="en-US" w:eastAsia="zh-CN" w:bidi="ar-SA"/>
              </w:rPr>
              <w:t>Calibrado en fábrica</w:t>
            </w:r>
          </w:p>
        </w:tc>
      </w:tr>
      <w:tr w14:paraId="653B45D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14828">
            <w:pPr>
              <w:rPr>
                <w:rFonts w:hint="default" w:ascii="宋体" w:hAnsi="宋体" w:cs="宋体"/>
                <w:lang w:val="en-US"/>
              </w:rPr>
            </w:pPr>
            <w:r>
              <w:rPr>
                <w:rFonts w:hint="default" w:ascii="Times New Roman" w:hAnsi="宋体" w:eastAsia="宋体" w:cs="宋体"/>
                <w:kern w:val="2"/>
                <w:sz w:val="21"/>
                <w:szCs w:val="22"/>
                <w:lang w:val="en-US" w:eastAsia="zh-CN" w:bidi="ar-SA"/>
              </w:rPr>
              <w:t>calibración oportuna</w:t>
            </w:r>
          </w:p>
        </w:tc>
        <w:tc>
          <w:tcPr>
            <w:tcW w:w="5587" w:type="dxa"/>
            <w:noWrap w:val="0"/>
            <w:vAlign w:val="top"/>
          </w:tcPr>
          <w:p w14:paraId="1F8CA41A">
            <w:pPr>
              <w:rPr>
                <w:rFonts w:hint="default" w:ascii="宋体" w:hAnsi="宋体" w:cs="宋体"/>
                <w:lang w:val="en-US"/>
              </w:rPr>
            </w:pPr>
            <w:r>
              <w:rPr>
                <w:rFonts w:hint="default" w:ascii="Times New Roman" w:hAnsi="宋体" w:eastAsia="宋体" w:cs="宋体"/>
                <w:kern w:val="2"/>
                <w:sz w:val="21"/>
                <w:szCs w:val="22"/>
                <w:lang w:val="en-US" w:eastAsia="zh-CN" w:bidi="ar-SA"/>
              </w:rPr>
              <w:t>Dispositivo de calibración automática integrado</w:t>
            </w:r>
          </w:p>
        </w:tc>
      </w:tr>
      <w:tr w14:paraId="4E10D0F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413900CB">
            <w:pPr>
              <w:rPr>
                <w:rFonts w:hint="default" w:ascii="宋体" w:hAnsi="宋体" w:cs="黑体"/>
                <w:lang w:val="en-US"/>
              </w:rPr>
            </w:pPr>
            <w:r>
              <w:rPr>
                <w:rFonts w:hint="default" w:ascii="Times New Roman" w:hAnsi="宋体" w:eastAsia="宋体" w:cs="黑体"/>
                <w:kern w:val="2"/>
                <w:sz w:val="21"/>
                <w:szCs w:val="22"/>
                <w:lang w:val="en-US" w:eastAsia="zh-CN" w:bidi="ar-SA"/>
              </w:rPr>
              <w:t>Parámetros de apariencia externa</w:t>
            </w:r>
          </w:p>
        </w:tc>
      </w:tr>
      <w:tr w14:paraId="751557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C9D36B5">
            <w:pPr>
              <w:rPr>
                <w:rFonts w:hint="default" w:ascii="宋体" w:hAnsi="宋体" w:cs="宋体"/>
                <w:lang w:val="en-US"/>
              </w:rPr>
            </w:pPr>
            <w:r>
              <w:rPr>
                <w:rFonts w:hint="default" w:ascii="Times New Roman" w:hAnsi="宋体" w:eastAsia="宋体" w:cs="宋体"/>
                <w:kern w:val="2"/>
                <w:sz w:val="21"/>
                <w:szCs w:val="22"/>
                <w:lang w:val="en-US" w:eastAsia="zh-CN" w:bidi="ar-SA"/>
              </w:rPr>
              <w:t>tamaño del producto</w:t>
            </w:r>
          </w:p>
        </w:tc>
        <w:tc>
          <w:tcPr>
            <w:tcW w:w="5587" w:type="dxa"/>
            <w:noWrap w:val="0"/>
            <w:vAlign w:val="top"/>
          </w:tcPr>
          <w:p w14:paraId="4ED339F5">
            <w:pPr>
              <w:rPr>
                <w:rFonts w:hint="default" w:ascii="宋体" w:hAnsi="宋体" w:cs="宋体"/>
                <w:lang w:val="en-US"/>
              </w:rPr>
            </w:pPr>
            <w:r>
              <w:rPr>
                <w:rFonts w:hint="default" w:ascii="Times New Roman" w:hAnsi="宋体" w:eastAsia="宋体" w:cs="宋体"/>
                <w:kern w:val="2"/>
                <w:sz w:val="21"/>
                <w:szCs w:val="22"/>
                <w:lang w:val="en-US" w:eastAsia="zh-CN" w:bidi="ar-SA"/>
              </w:rPr>
              <w:t>Longitud×Ancho×Altura: 338×155×155 (dispositivo transceptor)</w:t>
            </w:r>
          </w:p>
        </w:tc>
      </w:tr>
      <w:tr w14:paraId="63E54C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8CCD0B8">
            <w:pPr>
              <w:rPr>
                <w:rFonts w:hint="default" w:ascii="宋体" w:hAnsi="宋体" w:cs="宋体"/>
                <w:lang w:val="en-US"/>
              </w:rPr>
            </w:pPr>
            <w:r>
              <w:rPr>
                <w:rFonts w:hint="default" w:ascii="Times New Roman" w:hAnsi="宋体" w:eastAsia="宋体" w:cs="宋体"/>
                <w:kern w:val="2"/>
                <w:sz w:val="21"/>
                <w:szCs w:val="22"/>
                <w:lang w:val="en-US" w:eastAsia="zh-CN" w:bidi="ar-SA"/>
              </w:rPr>
              <w:t>Peso neto del producto</w:t>
            </w:r>
          </w:p>
        </w:tc>
        <w:tc>
          <w:tcPr>
            <w:tcW w:w="5587" w:type="dxa"/>
            <w:noWrap w:val="0"/>
            <w:vAlign w:val="top"/>
          </w:tcPr>
          <w:p w14:paraId="0E227F8B">
            <w:pPr>
              <w:rPr>
                <w:rFonts w:hint="default" w:ascii="宋体" w:hAnsi="宋体" w:cs="宋体"/>
                <w:lang w:val="en-US"/>
              </w:rPr>
            </w:pPr>
            <w:r>
              <w:rPr>
                <w:rFonts w:hint="default" w:ascii="Times New Roman" w:hAnsi="宋体" w:eastAsia="宋体" w:cs="宋体"/>
                <w:kern w:val="2"/>
                <w:sz w:val="21"/>
                <w:szCs w:val="22"/>
                <w:lang w:val="en-US" w:eastAsia="zh-CN" w:bidi="ar-SA"/>
              </w:rPr>
              <w:t>25±0.5Kg</w:t>
            </w:r>
          </w:p>
        </w:tc>
      </w:tr>
      <w:tr w14:paraId="6F0593C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FB5E1BD">
            <w:pPr>
              <w:rPr>
                <w:rFonts w:hint="default" w:ascii="宋体" w:hAnsi="宋体" w:cs="宋体"/>
                <w:lang w:val="en-US"/>
              </w:rPr>
            </w:pPr>
            <w:r>
              <w:rPr>
                <w:rFonts w:hint="default" w:ascii="Times New Roman" w:hAnsi="宋体" w:eastAsia="宋体" w:cs="宋体"/>
                <w:kern w:val="2"/>
                <w:sz w:val="21"/>
                <w:szCs w:val="22"/>
                <w:lang w:val="en-US" w:eastAsia="zh-CN" w:bidi="ar-SA"/>
              </w:rPr>
              <w:t>modo de alimentación eléctrica</w:t>
            </w:r>
          </w:p>
        </w:tc>
        <w:tc>
          <w:tcPr>
            <w:tcW w:w="5587" w:type="dxa"/>
            <w:noWrap w:val="0"/>
            <w:vAlign w:val="top"/>
          </w:tcPr>
          <w:p w14:paraId="3BB3348B">
            <w:pPr>
              <w:rPr>
                <w:rFonts w:hint="default" w:ascii="宋体" w:hAnsi="宋体" w:cs="宋体"/>
                <w:lang w:val="en-US"/>
              </w:rPr>
            </w:pPr>
            <w:r>
              <w:rPr>
                <w:rFonts w:hint="default" w:ascii="Times New Roman" w:hAnsi="宋体" w:eastAsia="宋体" w:cs="宋体"/>
                <w:kern w:val="2"/>
                <w:sz w:val="21"/>
                <w:szCs w:val="22"/>
                <w:lang w:val="en-US" w:eastAsia="zh-CN" w:bidi="ar-SA"/>
              </w:rPr>
              <w:t>DC24V</w:t>
            </w:r>
          </w:p>
        </w:tc>
      </w:tr>
      <w:tr w14:paraId="0C8F8D9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E6E6E6"/>
            <w:noWrap w:val="0"/>
            <w:vAlign w:val="top"/>
          </w:tcPr>
          <w:p w14:paraId="50F42ED3">
            <w:pPr>
              <w:rPr>
                <w:rFonts w:hint="default" w:ascii="宋体" w:hAnsi="宋体" w:cs="黑体"/>
                <w:lang w:val="en-US"/>
              </w:rPr>
            </w:pPr>
            <w:r>
              <w:rPr>
                <w:rFonts w:hint="default" w:ascii="Times New Roman" w:hAnsi="宋体" w:eastAsia="宋体" w:cs="黑体"/>
                <w:kern w:val="2"/>
                <w:sz w:val="21"/>
                <w:szCs w:val="22"/>
                <w:lang w:val="en-US" w:eastAsia="zh-CN" w:bidi="ar-SA"/>
              </w:rPr>
              <w:t>Parámetros eléctricos</w:t>
            </w:r>
          </w:p>
        </w:tc>
      </w:tr>
      <w:tr w14:paraId="6BC16D1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4E83D9BE">
            <w:pPr>
              <w:rPr>
                <w:rFonts w:hint="default" w:ascii="宋体" w:hAnsi="宋体" w:cs="宋体"/>
                <w:lang w:val="en-US"/>
              </w:rPr>
            </w:pPr>
            <w:r>
              <w:rPr>
                <w:rFonts w:hint="default" w:ascii="Times New Roman" w:hAnsi="宋体" w:eastAsia="宋体" w:cs="宋体"/>
                <w:kern w:val="2"/>
                <w:sz w:val="21"/>
                <w:szCs w:val="22"/>
                <w:lang w:val="en-US" w:eastAsia="zh-CN" w:bidi="ar-SA"/>
              </w:rPr>
              <w:t>tensión nominal</w:t>
            </w:r>
          </w:p>
        </w:tc>
        <w:tc>
          <w:tcPr>
            <w:tcW w:w="5587" w:type="dxa"/>
            <w:noWrap w:val="0"/>
            <w:vAlign w:val="top"/>
          </w:tcPr>
          <w:p w14:paraId="0F021755">
            <w:pPr>
              <w:rPr>
                <w:rFonts w:hint="default" w:ascii="宋体" w:hAnsi="宋体" w:cs="宋体"/>
                <w:lang w:val="en-US"/>
              </w:rPr>
            </w:pPr>
            <w:r>
              <w:rPr>
                <w:rFonts w:hint="default" w:ascii="Times New Roman" w:hAnsi="宋体" w:eastAsia="宋体" w:cs="宋体"/>
                <w:kern w:val="2"/>
                <w:sz w:val="21"/>
                <w:szCs w:val="22"/>
                <w:lang w:val="en-US" w:eastAsia="zh-CN" w:bidi="ar-SA"/>
              </w:rPr>
              <w:t>24V</w:t>
            </w:r>
          </w:p>
        </w:tc>
      </w:tr>
      <w:tr w14:paraId="3008F28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6FC589">
            <w:pPr>
              <w:rPr>
                <w:rFonts w:hint="default" w:ascii="宋体" w:hAnsi="宋体" w:cs="宋体"/>
                <w:lang w:val="en-US"/>
              </w:rPr>
            </w:pPr>
            <w:r>
              <w:rPr>
                <w:rFonts w:hint="default" w:ascii="Times New Roman" w:hAnsi="宋体" w:eastAsia="宋体" w:cs="宋体"/>
                <w:kern w:val="2"/>
                <w:sz w:val="21"/>
                <w:szCs w:val="22"/>
                <w:lang w:val="en-US" w:eastAsia="zh-CN" w:bidi="ar-SA"/>
              </w:rPr>
              <w:t>corriente nominal</w:t>
            </w:r>
          </w:p>
        </w:tc>
        <w:tc>
          <w:tcPr>
            <w:tcW w:w="5587" w:type="dxa"/>
            <w:noWrap w:val="0"/>
            <w:vAlign w:val="top"/>
          </w:tcPr>
          <w:p w14:paraId="45DBBA0F">
            <w:pPr>
              <w:rPr>
                <w:rFonts w:hint="default" w:ascii="宋体" w:hAnsi="宋体" w:cs="宋体"/>
                <w:lang w:val="en-US"/>
              </w:rPr>
            </w:pPr>
            <w:r>
              <w:rPr>
                <w:rFonts w:hint="default" w:ascii="Times New Roman" w:hAnsi="宋体" w:eastAsia="宋体" w:cs="宋体"/>
                <w:kern w:val="2"/>
                <w:sz w:val="21"/>
                <w:szCs w:val="22"/>
                <w:lang w:val="en-US" w:eastAsia="zh-CN" w:bidi="ar-SA"/>
              </w:rPr>
              <w:t>150mA</w:t>
            </w:r>
          </w:p>
        </w:tc>
      </w:tr>
      <w:tr w14:paraId="2C8F72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03EBDCB">
            <w:pPr>
              <w:rPr>
                <w:rFonts w:hint="default" w:ascii="宋体" w:hAnsi="宋体" w:cs="宋体"/>
                <w:lang w:val="en-US"/>
              </w:rPr>
            </w:pPr>
            <w:r>
              <w:rPr>
                <w:rFonts w:hint="default" w:ascii="Times New Roman" w:hAnsi="宋体" w:eastAsia="宋体" w:cs="宋体"/>
                <w:kern w:val="2"/>
                <w:sz w:val="21"/>
                <w:szCs w:val="22"/>
                <w:lang w:val="en-US" w:eastAsia="zh-CN" w:bidi="ar-SA"/>
              </w:rPr>
              <w:t>corriente máxima</w:t>
            </w:r>
          </w:p>
        </w:tc>
        <w:tc>
          <w:tcPr>
            <w:tcW w:w="5587" w:type="dxa"/>
            <w:noWrap w:val="0"/>
            <w:vAlign w:val="top"/>
          </w:tcPr>
          <w:p w14:paraId="4A840B79">
            <w:pPr>
              <w:rPr>
                <w:rFonts w:hint="default" w:ascii="宋体" w:hAnsi="宋体" w:cs="宋体"/>
                <w:lang w:val="en-US"/>
              </w:rPr>
            </w:pPr>
            <w:r>
              <w:rPr>
                <w:rFonts w:hint="default" w:ascii="Times New Roman" w:hAnsi="宋体" w:eastAsia="宋体" w:cs="宋体"/>
                <w:kern w:val="2"/>
                <w:sz w:val="21"/>
                <w:szCs w:val="22"/>
                <w:lang w:val="en-US" w:eastAsia="zh-CN" w:bidi="ar-SA"/>
              </w:rPr>
              <w:t>0.6A</w:t>
            </w:r>
          </w:p>
        </w:tc>
      </w:tr>
      <w:tr w14:paraId="0D8989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pct10" w:color="auto" w:fill="auto"/>
            <w:noWrap w:val="0"/>
            <w:vAlign w:val="top"/>
          </w:tcPr>
          <w:p w14:paraId="24C472EE">
            <w:pPr>
              <w:rPr>
                <w:rFonts w:hint="default" w:ascii="宋体" w:hAnsi="宋体" w:cs="黑体"/>
                <w:lang w:val="en-US"/>
              </w:rPr>
            </w:pPr>
            <w:r>
              <w:rPr>
                <w:rFonts w:hint="default" w:ascii="Times New Roman" w:hAnsi="宋体" w:eastAsia="宋体" w:cs="黑体"/>
                <w:kern w:val="2"/>
                <w:sz w:val="21"/>
                <w:szCs w:val="22"/>
                <w:lang w:val="en-US" w:eastAsia="zh-CN" w:bidi="ar-SA"/>
              </w:rPr>
              <w:t>Entorno de trabajo y configuración</w:t>
            </w:r>
          </w:p>
        </w:tc>
      </w:tr>
      <w:tr w14:paraId="6B55DF9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5AC4631E">
            <w:pPr>
              <w:rPr>
                <w:rFonts w:hint="default" w:ascii="宋体" w:hAnsi="宋体" w:cs="宋体"/>
                <w:lang w:val="en-US"/>
              </w:rPr>
            </w:pPr>
            <w:r>
              <w:rPr>
                <w:rFonts w:hint="default" w:ascii="Times New Roman" w:hAnsi="宋体" w:eastAsia="宋体" w:cs="宋体"/>
                <w:kern w:val="2"/>
                <w:sz w:val="21"/>
                <w:szCs w:val="22"/>
                <w:lang w:val="en-US" w:eastAsia="zh-CN" w:bidi="ar-SA"/>
              </w:rPr>
              <w:t>temperatura ambiente</w:t>
            </w:r>
          </w:p>
        </w:tc>
        <w:tc>
          <w:tcPr>
            <w:tcW w:w="5587" w:type="dxa"/>
            <w:noWrap w:val="0"/>
            <w:vAlign w:val="top"/>
          </w:tcPr>
          <w:p w14:paraId="0964B787">
            <w:pPr>
              <w:rPr>
                <w:rFonts w:hint="default" w:ascii="宋体" w:hAnsi="宋体" w:cs="宋体"/>
                <w:lang w:val="en-US"/>
              </w:rPr>
            </w:pPr>
            <w:r>
              <w:rPr>
                <w:rFonts w:hint="default" w:ascii="Times New Roman" w:hAnsi="宋体" w:eastAsia="宋体" w:cs="宋体"/>
                <w:kern w:val="2"/>
                <w:sz w:val="21"/>
                <w:szCs w:val="22"/>
                <w:lang w:val="en-US" w:eastAsia="zh-CN" w:bidi="ar-SA"/>
              </w:rPr>
              <w:t>（-40～+70）℃</w:t>
            </w:r>
          </w:p>
        </w:tc>
      </w:tr>
      <w:tr w14:paraId="090037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6CD32820">
            <w:pPr>
              <w:rPr>
                <w:rFonts w:hint="default" w:ascii="宋体" w:hAnsi="宋体" w:cs="宋体"/>
                <w:lang w:val="en-US"/>
              </w:rPr>
            </w:pPr>
            <w:r>
              <w:rPr>
                <w:rFonts w:hint="default" w:ascii="Times New Roman" w:hAnsi="宋体" w:eastAsia="宋体" w:cs="宋体"/>
                <w:kern w:val="2"/>
                <w:sz w:val="21"/>
                <w:szCs w:val="22"/>
                <w:lang w:val="en-US" w:eastAsia="zh-CN" w:bidi="ar-SA"/>
              </w:rPr>
              <w:t>humedad ambiente</w:t>
            </w:r>
          </w:p>
        </w:tc>
        <w:tc>
          <w:tcPr>
            <w:tcW w:w="5587" w:type="dxa"/>
            <w:noWrap w:val="0"/>
            <w:vAlign w:val="top"/>
          </w:tcPr>
          <w:p w14:paraId="461DF2E3">
            <w:pPr>
              <w:rPr>
                <w:rFonts w:hint="default" w:ascii="宋体" w:hAnsi="宋体" w:cs="宋体"/>
                <w:lang w:val="en-US"/>
              </w:rPr>
            </w:pPr>
            <w:r>
              <w:rPr>
                <w:rFonts w:hint="default" w:ascii="Times New Roman" w:hAnsi="宋体" w:eastAsia="宋体" w:cs="宋体"/>
                <w:kern w:val="2"/>
                <w:sz w:val="21"/>
                <w:szCs w:val="22"/>
                <w:lang w:val="en-US" w:eastAsia="zh-CN" w:bidi="ar-SA"/>
              </w:rPr>
              <w:t>(0–90)% RH, sin condensación</w:t>
            </w:r>
          </w:p>
        </w:tc>
      </w:tr>
      <w:tr w14:paraId="260BC9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37142078">
            <w:pPr>
              <w:rPr>
                <w:rFonts w:hint="default" w:ascii="宋体" w:hAnsi="宋体" w:cs="宋体"/>
                <w:lang w:val="en-US"/>
              </w:rPr>
            </w:pPr>
            <w:r>
              <w:rPr>
                <w:rFonts w:hint="default" w:ascii="Times New Roman" w:hAnsi="宋体" w:eastAsia="宋体" w:cs="宋体"/>
                <w:kern w:val="2"/>
                <w:sz w:val="21"/>
                <w:szCs w:val="22"/>
                <w:lang w:val="en-US" w:eastAsia="zh-CN" w:bidi="ar-SA"/>
              </w:rPr>
              <w:t>atmósfera</w:t>
            </w:r>
          </w:p>
        </w:tc>
        <w:tc>
          <w:tcPr>
            <w:tcW w:w="5587" w:type="dxa"/>
            <w:noWrap w:val="0"/>
            <w:vAlign w:val="top"/>
          </w:tcPr>
          <w:p w14:paraId="7C472785">
            <w:pPr>
              <w:rPr>
                <w:rFonts w:hint="default" w:ascii="宋体" w:hAnsi="宋体" w:cs="宋体"/>
                <w:lang w:val="en-US"/>
              </w:rPr>
            </w:pPr>
            <w:r>
              <w:rPr>
                <w:rFonts w:hint="default" w:ascii="Times New Roman" w:hAnsi="宋体" w:eastAsia="宋体" w:cs="宋体"/>
                <w:kern w:val="2"/>
                <w:sz w:val="21"/>
                <w:szCs w:val="22"/>
                <w:lang w:val="en-US" w:eastAsia="zh-CN" w:bidi="ar-SA"/>
              </w:rPr>
              <w:t>70 KPa ～ 106 KPa</w:t>
            </w:r>
          </w:p>
        </w:tc>
      </w:tr>
      <w:tr w14:paraId="2E1EBEF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362" w:type="dxa"/>
            <w:gridSpan w:val="2"/>
            <w:shd w:val="clear" w:color="auto" w:fill="D9D9D9"/>
            <w:noWrap w:val="0"/>
            <w:vAlign w:val="top"/>
          </w:tcPr>
          <w:p w14:paraId="6684F217">
            <w:pPr>
              <w:rPr>
                <w:rFonts w:hint="default" w:ascii="宋体" w:hAnsi="宋体" w:cs="黑体"/>
                <w:lang w:val="en-US"/>
              </w:rPr>
            </w:pPr>
            <w:r>
              <w:rPr>
                <w:rFonts w:hint="default" w:ascii="Times New Roman" w:hAnsi="宋体" w:eastAsia="宋体" w:cs="黑体"/>
                <w:kern w:val="2"/>
                <w:sz w:val="21"/>
                <w:szCs w:val="22"/>
                <w:lang w:val="en-US" w:eastAsia="zh-CN" w:bidi="ar-SA"/>
              </w:rPr>
              <w:t>Parámetro de seguridad intrínseca</w:t>
            </w:r>
          </w:p>
        </w:tc>
      </w:tr>
      <w:tr w14:paraId="0B85F9A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775" w:type="dxa"/>
            <w:noWrap w:val="0"/>
            <w:vAlign w:val="top"/>
          </w:tcPr>
          <w:p w14:paraId="2AC3C11A">
            <w:pPr>
              <w:rPr>
                <w:rFonts w:hint="default" w:ascii="宋体" w:hAnsi="宋体" w:cs="宋体"/>
                <w:lang w:val="en-US"/>
              </w:rPr>
            </w:pPr>
            <w:r>
              <w:rPr>
                <w:rFonts w:hint="default" w:ascii="Times New Roman" w:hAnsi="宋体" w:eastAsia="宋体" w:cs="宋体"/>
                <w:kern w:val="2"/>
                <w:sz w:val="21"/>
                <w:szCs w:val="22"/>
                <w:lang w:val="en-US" w:eastAsia="zh-CN" w:bidi="ar-SA"/>
              </w:rPr>
              <w:t>Parámetros de seguridad intrínseca de la alimentación eléctrica</w:t>
            </w:r>
          </w:p>
        </w:tc>
        <w:tc>
          <w:tcPr>
            <w:tcW w:w="5587" w:type="dxa"/>
            <w:noWrap w:val="0"/>
            <w:vAlign w:val="top"/>
          </w:tcPr>
          <w:p w14:paraId="4B94DE61">
            <w:pPr>
              <w:rPr>
                <w:rFonts w:hint="default" w:ascii="宋体" w:hAnsi="宋体" w:cs="宋体"/>
                <w:lang w:val="en-US"/>
              </w:rPr>
            </w:pPr>
            <w:r>
              <w:rPr>
                <w:rFonts w:hint="default" w:ascii="Times New Roman" w:hAnsi="宋体" w:eastAsia="宋体" w:cs="宋体"/>
                <w:kern w:val="2"/>
                <w:sz w:val="21"/>
                <w:szCs w:val="22"/>
                <w:lang w:val="en-US" w:eastAsia="zh-CN" w:bidi="ar-SA"/>
              </w:rPr>
              <w:t>Ui=28VDC;Ii=93mA;Ci=0;Li=0;Pi=0.65W</w:t>
            </w:r>
          </w:p>
        </w:tc>
      </w:tr>
    </w:tbl>
    <w:p w14:paraId="74D15911">
      <w:pPr>
        <w:ind w:firstLine="420"/>
        <w:rPr>
          <w:rFonts w:hint="default" w:ascii="宋体" w:hAnsi="宋体" w:cs="宋体"/>
          <w:lang w:val="en-US"/>
        </w:rPr>
      </w:pPr>
      <w:r>
        <w:rPr>
          <w:rFonts w:hint="default" w:ascii="Times New Roman" w:hAnsi="宋体" w:eastAsia="宋体" w:cs="宋体"/>
          <w:kern w:val="2"/>
          <w:sz w:val="21"/>
          <w:szCs w:val="22"/>
          <w:lang w:val="en-US" w:eastAsia="zh-CN" w:bidi="ar-SA"/>
        </w:rPr>
        <w:t xml:space="preserve">                </w:t>
      </w:r>
    </w:p>
    <w:p w14:paraId="247496E2">
      <w:pPr>
        <w:rPr>
          <w:rFonts w:hint="eastAsia" w:ascii="宋体" w:hAnsi="宋体" w:cs="仿宋"/>
        </w:rPr>
      </w:pPr>
    </w:p>
    <w:sectPr>
      <w:footerReference r:id="rId5" w:type="default"/>
      <w:footerReference r:id="rId6" w:type="even"/>
      <w:pgSz w:w="10319" w:h="14572"/>
      <w:pgMar w:top="1474" w:right="1474" w:bottom="1474" w:left="170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7F43">
    <w:pPr>
      <w:pStyle w:val="9"/>
      <w:ind w:firstLine="6930" w:firstLineChars="38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BA4E5">
    <w:pPr>
      <w:pStyle w:val="9"/>
      <w:jc w:val="center"/>
      <w:rPr>
        <w:rFonts w:hint="default"/>
        <w:lang w:val="en-US"/>
      </w:rPr>
    </w:pPr>
    <w:r>
      <w:rPr>
        <w:rFonts w:ascii="Times New Roman" w:hAnsi="Calibri" w:eastAsia="宋体" w:cs="Times New Roman"/>
        <w:kern w:val="2"/>
        <w:sz w:val="18"/>
        <w:szCs w:val="18"/>
        <w:lang w:val="en-US" w:eastAsia="zh-CN" w:bidi="ar-SA"/>
      </w:rPr>
      <w:t>1</w:t>
    </w:r>
  </w:p>
  <w:p w14:paraId="44C9522F">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FCBE">
    <w:pPr>
      <w:pStyle w:val="9"/>
      <w:jc w:val="center"/>
    </w:pPr>
    <w:r>
      <w:fldChar w:fldCharType="begin"/>
    </w:r>
    <w:r>
      <w:instrText xml:space="preserve">PAGE   \* MERGEFORMAT</w:instrText>
    </w:r>
    <w:r>
      <w:fldChar w:fldCharType="separate"/>
    </w:r>
    <w:r>
      <w:rPr>
        <w:lang w:val="zh-CN"/>
      </w:rPr>
      <w:t>2</w:t>
    </w:r>
    <w:r>
      <w:fldChar w:fldCharType="end"/>
    </w:r>
  </w:p>
  <w:p w14:paraId="2102363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F6BCC">
    <w:pPr>
      <w:pStyle w:val="10"/>
      <w:rPr>
        <w:rFonts w:hint="default"/>
        <w:lang w:val="en-US"/>
      </w:rPr>
    </w:pPr>
    <w:r>
      <w:rPr>
        <w:rFonts w:hint="default" w:ascii="Times New Roman" w:hAnsi="Calibri" w:eastAsia="宋体" w:cs="Times New Roman"/>
        <w:kern w:val="2"/>
        <w:sz w:val="18"/>
        <w:szCs w:val="18"/>
        <w:lang w:val="en-US" w:eastAsia="zh-CN" w:bidi="ar-SA"/>
      </w:rPr>
      <w:t xml:space="preserve">Experto en detección láser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E044A"/>
    <w:multiLevelType w:val="multilevel"/>
    <w:tmpl w:val="9CFE044A"/>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DEE21C3"/>
    <w:multiLevelType w:val="singleLevel"/>
    <w:tmpl w:val="7DEE21C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isplayHorizontalDrawingGridEvery w:val="1"/>
  <w:displayVerticalDrawingGridEvery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F7"/>
    <w:rsid w:val="00003F69"/>
    <w:rsid w:val="000047D3"/>
    <w:rsid w:val="000063C8"/>
    <w:rsid w:val="000076EE"/>
    <w:rsid w:val="000131D4"/>
    <w:rsid w:val="00013E03"/>
    <w:rsid w:val="000208B4"/>
    <w:rsid w:val="00024D8F"/>
    <w:rsid w:val="000318E1"/>
    <w:rsid w:val="00034546"/>
    <w:rsid w:val="000435EF"/>
    <w:rsid w:val="00050626"/>
    <w:rsid w:val="0005481B"/>
    <w:rsid w:val="0006382A"/>
    <w:rsid w:val="000639F6"/>
    <w:rsid w:val="0006517A"/>
    <w:rsid w:val="00065D28"/>
    <w:rsid w:val="00065E66"/>
    <w:rsid w:val="00070AE9"/>
    <w:rsid w:val="00071C9B"/>
    <w:rsid w:val="00082856"/>
    <w:rsid w:val="0008381A"/>
    <w:rsid w:val="000838BB"/>
    <w:rsid w:val="00084E0A"/>
    <w:rsid w:val="00087A7C"/>
    <w:rsid w:val="00096369"/>
    <w:rsid w:val="000A0DB4"/>
    <w:rsid w:val="000A1696"/>
    <w:rsid w:val="000A16D8"/>
    <w:rsid w:val="000A3E78"/>
    <w:rsid w:val="000A6444"/>
    <w:rsid w:val="000B02B7"/>
    <w:rsid w:val="000B2339"/>
    <w:rsid w:val="000B2C5F"/>
    <w:rsid w:val="000B5FA8"/>
    <w:rsid w:val="000B6ADC"/>
    <w:rsid w:val="000C1646"/>
    <w:rsid w:val="000C309D"/>
    <w:rsid w:val="000C6AFD"/>
    <w:rsid w:val="000D3628"/>
    <w:rsid w:val="000D5B81"/>
    <w:rsid w:val="000E00DA"/>
    <w:rsid w:val="000E3526"/>
    <w:rsid w:val="000E6117"/>
    <w:rsid w:val="000F5F99"/>
    <w:rsid w:val="000F7BA1"/>
    <w:rsid w:val="001016AC"/>
    <w:rsid w:val="001025E0"/>
    <w:rsid w:val="00103465"/>
    <w:rsid w:val="00107F8D"/>
    <w:rsid w:val="001118F5"/>
    <w:rsid w:val="0011411B"/>
    <w:rsid w:val="001170DD"/>
    <w:rsid w:val="00121A90"/>
    <w:rsid w:val="00122AE7"/>
    <w:rsid w:val="00124A31"/>
    <w:rsid w:val="0012536D"/>
    <w:rsid w:val="00126AAC"/>
    <w:rsid w:val="0012710F"/>
    <w:rsid w:val="00127D52"/>
    <w:rsid w:val="001300F2"/>
    <w:rsid w:val="00132525"/>
    <w:rsid w:val="00136A84"/>
    <w:rsid w:val="00141422"/>
    <w:rsid w:val="00142C7C"/>
    <w:rsid w:val="0014335E"/>
    <w:rsid w:val="00144DF6"/>
    <w:rsid w:val="001519BC"/>
    <w:rsid w:val="00154CA6"/>
    <w:rsid w:val="001641F9"/>
    <w:rsid w:val="00171678"/>
    <w:rsid w:val="00172F24"/>
    <w:rsid w:val="00174AD5"/>
    <w:rsid w:val="001761B1"/>
    <w:rsid w:val="001770E5"/>
    <w:rsid w:val="001900AE"/>
    <w:rsid w:val="001924CB"/>
    <w:rsid w:val="001A1151"/>
    <w:rsid w:val="001A761A"/>
    <w:rsid w:val="001B2CC1"/>
    <w:rsid w:val="001C3048"/>
    <w:rsid w:val="001C320E"/>
    <w:rsid w:val="001C5367"/>
    <w:rsid w:val="001D6495"/>
    <w:rsid w:val="001E7F55"/>
    <w:rsid w:val="001F3A5E"/>
    <w:rsid w:val="001F6D5F"/>
    <w:rsid w:val="0020089E"/>
    <w:rsid w:val="00200E09"/>
    <w:rsid w:val="00203344"/>
    <w:rsid w:val="0021003D"/>
    <w:rsid w:val="00214A7F"/>
    <w:rsid w:val="002313CB"/>
    <w:rsid w:val="00231AD7"/>
    <w:rsid w:val="002334DE"/>
    <w:rsid w:val="00235AC7"/>
    <w:rsid w:val="00250CB1"/>
    <w:rsid w:val="00251A97"/>
    <w:rsid w:val="0025306E"/>
    <w:rsid w:val="00257FA5"/>
    <w:rsid w:val="0026244E"/>
    <w:rsid w:val="0026608C"/>
    <w:rsid w:val="00267606"/>
    <w:rsid w:val="0027111B"/>
    <w:rsid w:val="002717CA"/>
    <w:rsid w:val="002761C3"/>
    <w:rsid w:val="00277A79"/>
    <w:rsid w:val="00285723"/>
    <w:rsid w:val="002861B5"/>
    <w:rsid w:val="002901CA"/>
    <w:rsid w:val="00293C11"/>
    <w:rsid w:val="002968B4"/>
    <w:rsid w:val="002A125B"/>
    <w:rsid w:val="002A281C"/>
    <w:rsid w:val="002B642E"/>
    <w:rsid w:val="002C30AB"/>
    <w:rsid w:val="002C494B"/>
    <w:rsid w:val="002D0B10"/>
    <w:rsid w:val="002D2186"/>
    <w:rsid w:val="002D6793"/>
    <w:rsid w:val="002D75C8"/>
    <w:rsid w:val="002E1456"/>
    <w:rsid w:val="002E4265"/>
    <w:rsid w:val="002E53B8"/>
    <w:rsid w:val="002E6498"/>
    <w:rsid w:val="002E75EC"/>
    <w:rsid w:val="002F2D65"/>
    <w:rsid w:val="002F7E63"/>
    <w:rsid w:val="003003DD"/>
    <w:rsid w:val="00305C66"/>
    <w:rsid w:val="00307535"/>
    <w:rsid w:val="0031402F"/>
    <w:rsid w:val="00322405"/>
    <w:rsid w:val="00332222"/>
    <w:rsid w:val="00334DA2"/>
    <w:rsid w:val="003362C4"/>
    <w:rsid w:val="003368F1"/>
    <w:rsid w:val="003467A4"/>
    <w:rsid w:val="00350A6A"/>
    <w:rsid w:val="0035270A"/>
    <w:rsid w:val="00354D1F"/>
    <w:rsid w:val="00357242"/>
    <w:rsid w:val="003603B0"/>
    <w:rsid w:val="00363B4B"/>
    <w:rsid w:val="00370DB6"/>
    <w:rsid w:val="00371360"/>
    <w:rsid w:val="00373560"/>
    <w:rsid w:val="00377AD9"/>
    <w:rsid w:val="00377F12"/>
    <w:rsid w:val="00382711"/>
    <w:rsid w:val="00391DE6"/>
    <w:rsid w:val="00393C96"/>
    <w:rsid w:val="00394DEB"/>
    <w:rsid w:val="00397EAB"/>
    <w:rsid w:val="003A2B31"/>
    <w:rsid w:val="003B20C8"/>
    <w:rsid w:val="003B2F45"/>
    <w:rsid w:val="003C28D0"/>
    <w:rsid w:val="003D5698"/>
    <w:rsid w:val="003E16DE"/>
    <w:rsid w:val="003E3A89"/>
    <w:rsid w:val="003F0743"/>
    <w:rsid w:val="003F5A7F"/>
    <w:rsid w:val="003F663A"/>
    <w:rsid w:val="003F77C8"/>
    <w:rsid w:val="00404817"/>
    <w:rsid w:val="004079FF"/>
    <w:rsid w:val="0041339A"/>
    <w:rsid w:val="00417815"/>
    <w:rsid w:val="004227BB"/>
    <w:rsid w:val="00422A58"/>
    <w:rsid w:val="004303C4"/>
    <w:rsid w:val="00431BEA"/>
    <w:rsid w:val="00434E0B"/>
    <w:rsid w:val="004370A7"/>
    <w:rsid w:val="0043733A"/>
    <w:rsid w:val="00441075"/>
    <w:rsid w:val="004508FD"/>
    <w:rsid w:val="00450F49"/>
    <w:rsid w:val="004512E0"/>
    <w:rsid w:val="00452D4E"/>
    <w:rsid w:val="004544B5"/>
    <w:rsid w:val="00455C82"/>
    <w:rsid w:val="0046006E"/>
    <w:rsid w:val="004608FA"/>
    <w:rsid w:val="00466E46"/>
    <w:rsid w:val="00471230"/>
    <w:rsid w:val="00490CE6"/>
    <w:rsid w:val="004939FB"/>
    <w:rsid w:val="00497FF1"/>
    <w:rsid w:val="004A0214"/>
    <w:rsid w:val="004A257F"/>
    <w:rsid w:val="004B32F7"/>
    <w:rsid w:val="004B3C08"/>
    <w:rsid w:val="004B5D8F"/>
    <w:rsid w:val="004B60AC"/>
    <w:rsid w:val="004C183A"/>
    <w:rsid w:val="004C23E1"/>
    <w:rsid w:val="004C5BA1"/>
    <w:rsid w:val="004C7002"/>
    <w:rsid w:val="004D7F16"/>
    <w:rsid w:val="004E2493"/>
    <w:rsid w:val="004F3E56"/>
    <w:rsid w:val="004F6787"/>
    <w:rsid w:val="00500BDC"/>
    <w:rsid w:val="00510CEB"/>
    <w:rsid w:val="005129FD"/>
    <w:rsid w:val="00521DAF"/>
    <w:rsid w:val="0052424F"/>
    <w:rsid w:val="005341C1"/>
    <w:rsid w:val="0054511E"/>
    <w:rsid w:val="00545637"/>
    <w:rsid w:val="005509F2"/>
    <w:rsid w:val="0055437D"/>
    <w:rsid w:val="00554EC5"/>
    <w:rsid w:val="00557FB4"/>
    <w:rsid w:val="00560F26"/>
    <w:rsid w:val="005653F0"/>
    <w:rsid w:val="00571839"/>
    <w:rsid w:val="00575885"/>
    <w:rsid w:val="00576E3A"/>
    <w:rsid w:val="00577C40"/>
    <w:rsid w:val="005823FF"/>
    <w:rsid w:val="00585E54"/>
    <w:rsid w:val="00586C0C"/>
    <w:rsid w:val="00590226"/>
    <w:rsid w:val="005974FD"/>
    <w:rsid w:val="005A0D4D"/>
    <w:rsid w:val="005A2DC3"/>
    <w:rsid w:val="005A500C"/>
    <w:rsid w:val="005A5FF3"/>
    <w:rsid w:val="005B6B93"/>
    <w:rsid w:val="005B6E99"/>
    <w:rsid w:val="005C0E6A"/>
    <w:rsid w:val="005C5140"/>
    <w:rsid w:val="005E03F5"/>
    <w:rsid w:val="005E2553"/>
    <w:rsid w:val="005E41D8"/>
    <w:rsid w:val="005E515C"/>
    <w:rsid w:val="005F6A20"/>
    <w:rsid w:val="005F7FD4"/>
    <w:rsid w:val="0060211A"/>
    <w:rsid w:val="0060364A"/>
    <w:rsid w:val="00606192"/>
    <w:rsid w:val="0060789A"/>
    <w:rsid w:val="0061671B"/>
    <w:rsid w:val="00617843"/>
    <w:rsid w:val="006261FE"/>
    <w:rsid w:val="006413E7"/>
    <w:rsid w:val="00643753"/>
    <w:rsid w:val="006520B8"/>
    <w:rsid w:val="0065387E"/>
    <w:rsid w:val="006543AF"/>
    <w:rsid w:val="00656F41"/>
    <w:rsid w:val="0066091C"/>
    <w:rsid w:val="006648B8"/>
    <w:rsid w:val="00670AC5"/>
    <w:rsid w:val="006716D2"/>
    <w:rsid w:val="00674C06"/>
    <w:rsid w:val="0068163D"/>
    <w:rsid w:val="00681725"/>
    <w:rsid w:val="00683EBF"/>
    <w:rsid w:val="00685D52"/>
    <w:rsid w:val="006870A4"/>
    <w:rsid w:val="00692416"/>
    <w:rsid w:val="00694E9F"/>
    <w:rsid w:val="006955C5"/>
    <w:rsid w:val="00696183"/>
    <w:rsid w:val="006964B5"/>
    <w:rsid w:val="006974F7"/>
    <w:rsid w:val="006A24DC"/>
    <w:rsid w:val="006A6800"/>
    <w:rsid w:val="006B1C52"/>
    <w:rsid w:val="006B34ED"/>
    <w:rsid w:val="006B65F7"/>
    <w:rsid w:val="006B72FE"/>
    <w:rsid w:val="006C317C"/>
    <w:rsid w:val="006C6B10"/>
    <w:rsid w:val="006C6C34"/>
    <w:rsid w:val="006C70C2"/>
    <w:rsid w:val="006D79B2"/>
    <w:rsid w:val="006E2FB3"/>
    <w:rsid w:val="006E71CB"/>
    <w:rsid w:val="006F16C9"/>
    <w:rsid w:val="007006DF"/>
    <w:rsid w:val="00701ACC"/>
    <w:rsid w:val="00714B60"/>
    <w:rsid w:val="00725EE9"/>
    <w:rsid w:val="0072734D"/>
    <w:rsid w:val="007316C6"/>
    <w:rsid w:val="00732A6B"/>
    <w:rsid w:val="007359EA"/>
    <w:rsid w:val="007365A9"/>
    <w:rsid w:val="0075124F"/>
    <w:rsid w:val="007556EF"/>
    <w:rsid w:val="00755AE6"/>
    <w:rsid w:val="007609F6"/>
    <w:rsid w:val="007656BF"/>
    <w:rsid w:val="00770D85"/>
    <w:rsid w:val="0077362B"/>
    <w:rsid w:val="00774E00"/>
    <w:rsid w:val="00775E13"/>
    <w:rsid w:val="0077739A"/>
    <w:rsid w:val="00796BDC"/>
    <w:rsid w:val="007A2B83"/>
    <w:rsid w:val="007A2E26"/>
    <w:rsid w:val="007A348A"/>
    <w:rsid w:val="007A59F4"/>
    <w:rsid w:val="007B2FAD"/>
    <w:rsid w:val="007B3EE6"/>
    <w:rsid w:val="007B4C1E"/>
    <w:rsid w:val="007B6C23"/>
    <w:rsid w:val="007C26E6"/>
    <w:rsid w:val="007C40AE"/>
    <w:rsid w:val="007D04E9"/>
    <w:rsid w:val="007D3BE1"/>
    <w:rsid w:val="007E0A7F"/>
    <w:rsid w:val="007E0B73"/>
    <w:rsid w:val="007E4034"/>
    <w:rsid w:val="007E60D8"/>
    <w:rsid w:val="007E6B00"/>
    <w:rsid w:val="007E6CAC"/>
    <w:rsid w:val="007E7EB6"/>
    <w:rsid w:val="007F0B18"/>
    <w:rsid w:val="007F7258"/>
    <w:rsid w:val="007F7592"/>
    <w:rsid w:val="00807495"/>
    <w:rsid w:val="00807D15"/>
    <w:rsid w:val="00810EC6"/>
    <w:rsid w:val="00817DF1"/>
    <w:rsid w:val="00822028"/>
    <w:rsid w:val="008229EB"/>
    <w:rsid w:val="00822F52"/>
    <w:rsid w:val="00824434"/>
    <w:rsid w:val="008304C0"/>
    <w:rsid w:val="00830787"/>
    <w:rsid w:val="00830FC8"/>
    <w:rsid w:val="008353D7"/>
    <w:rsid w:val="00835E06"/>
    <w:rsid w:val="00836263"/>
    <w:rsid w:val="0083648A"/>
    <w:rsid w:val="00836D8A"/>
    <w:rsid w:val="0084013D"/>
    <w:rsid w:val="0084486E"/>
    <w:rsid w:val="008475C1"/>
    <w:rsid w:val="0085170F"/>
    <w:rsid w:val="00854676"/>
    <w:rsid w:val="0086357F"/>
    <w:rsid w:val="00866EA1"/>
    <w:rsid w:val="00867092"/>
    <w:rsid w:val="008677E6"/>
    <w:rsid w:val="008762B3"/>
    <w:rsid w:val="00876841"/>
    <w:rsid w:val="00885A53"/>
    <w:rsid w:val="00892252"/>
    <w:rsid w:val="00892324"/>
    <w:rsid w:val="00894C89"/>
    <w:rsid w:val="008B5608"/>
    <w:rsid w:val="008C162B"/>
    <w:rsid w:val="008C50CA"/>
    <w:rsid w:val="008D5D8C"/>
    <w:rsid w:val="008E0A4E"/>
    <w:rsid w:val="008F1A58"/>
    <w:rsid w:val="008F3CCC"/>
    <w:rsid w:val="008F62C6"/>
    <w:rsid w:val="00907A39"/>
    <w:rsid w:val="00911063"/>
    <w:rsid w:val="00911E31"/>
    <w:rsid w:val="009218AA"/>
    <w:rsid w:val="00930CAA"/>
    <w:rsid w:val="00931204"/>
    <w:rsid w:val="00937F4E"/>
    <w:rsid w:val="00940C00"/>
    <w:rsid w:val="009472CF"/>
    <w:rsid w:val="009477F3"/>
    <w:rsid w:val="00947FAA"/>
    <w:rsid w:val="00951B4E"/>
    <w:rsid w:val="00952944"/>
    <w:rsid w:val="00960623"/>
    <w:rsid w:val="00967E2C"/>
    <w:rsid w:val="0097019A"/>
    <w:rsid w:val="00976865"/>
    <w:rsid w:val="00977CBA"/>
    <w:rsid w:val="00980028"/>
    <w:rsid w:val="00981A88"/>
    <w:rsid w:val="00984BC0"/>
    <w:rsid w:val="00990167"/>
    <w:rsid w:val="00990274"/>
    <w:rsid w:val="00992068"/>
    <w:rsid w:val="00994231"/>
    <w:rsid w:val="00994334"/>
    <w:rsid w:val="00994751"/>
    <w:rsid w:val="00996CAF"/>
    <w:rsid w:val="009A28BC"/>
    <w:rsid w:val="009B005C"/>
    <w:rsid w:val="009B3687"/>
    <w:rsid w:val="009B6E25"/>
    <w:rsid w:val="009C0052"/>
    <w:rsid w:val="009C2060"/>
    <w:rsid w:val="009C525B"/>
    <w:rsid w:val="009D3317"/>
    <w:rsid w:val="009D57CA"/>
    <w:rsid w:val="009D6522"/>
    <w:rsid w:val="009D6D77"/>
    <w:rsid w:val="009E1398"/>
    <w:rsid w:val="009E24B0"/>
    <w:rsid w:val="009E2F3D"/>
    <w:rsid w:val="009E523F"/>
    <w:rsid w:val="009E7752"/>
    <w:rsid w:val="009F1C1A"/>
    <w:rsid w:val="009F3B88"/>
    <w:rsid w:val="009F4530"/>
    <w:rsid w:val="009F65BA"/>
    <w:rsid w:val="00A008DD"/>
    <w:rsid w:val="00A0118A"/>
    <w:rsid w:val="00A0282A"/>
    <w:rsid w:val="00A06F24"/>
    <w:rsid w:val="00A07766"/>
    <w:rsid w:val="00A07D4A"/>
    <w:rsid w:val="00A14CB0"/>
    <w:rsid w:val="00A14CE5"/>
    <w:rsid w:val="00A14F7A"/>
    <w:rsid w:val="00A23134"/>
    <w:rsid w:val="00A247A0"/>
    <w:rsid w:val="00A32236"/>
    <w:rsid w:val="00A32985"/>
    <w:rsid w:val="00A337DB"/>
    <w:rsid w:val="00A3423C"/>
    <w:rsid w:val="00A3666B"/>
    <w:rsid w:val="00A47152"/>
    <w:rsid w:val="00A523EC"/>
    <w:rsid w:val="00A52495"/>
    <w:rsid w:val="00A54975"/>
    <w:rsid w:val="00A571E8"/>
    <w:rsid w:val="00A6798B"/>
    <w:rsid w:val="00A736CD"/>
    <w:rsid w:val="00A748B1"/>
    <w:rsid w:val="00A77835"/>
    <w:rsid w:val="00A800AA"/>
    <w:rsid w:val="00A81240"/>
    <w:rsid w:val="00A913B5"/>
    <w:rsid w:val="00A92706"/>
    <w:rsid w:val="00A94C72"/>
    <w:rsid w:val="00AA6BED"/>
    <w:rsid w:val="00AB712E"/>
    <w:rsid w:val="00AB7DC9"/>
    <w:rsid w:val="00AD04CE"/>
    <w:rsid w:val="00AD1437"/>
    <w:rsid w:val="00AD1E3B"/>
    <w:rsid w:val="00AD2409"/>
    <w:rsid w:val="00AD2DBD"/>
    <w:rsid w:val="00AD314D"/>
    <w:rsid w:val="00AD3B83"/>
    <w:rsid w:val="00AD4953"/>
    <w:rsid w:val="00AD7482"/>
    <w:rsid w:val="00AE0D2F"/>
    <w:rsid w:val="00AE16FE"/>
    <w:rsid w:val="00AE3FA2"/>
    <w:rsid w:val="00AF3184"/>
    <w:rsid w:val="00AF7A4B"/>
    <w:rsid w:val="00B02884"/>
    <w:rsid w:val="00B0343A"/>
    <w:rsid w:val="00B05492"/>
    <w:rsid w:val="00B12681"/>
    <w:rsid w:val="00B13DC5"/>
    <w:rsid w:val="00B21467"/>
    <w:rsid w:val="00B2314B"/>
    <w:rsid w:val="00B25B1D"/>
    <w:rsid w:val="00B31936"/>
    <w:rsid w:val="00B31995"/>
    <w:rsid w:val="00B36D75"/>
    <w:rsid w:val="00B36E1B"/>
    <w:rsid w:val="00B370EF"/>
    <w:rsid w:val="00B41A7F"/>
    <w:rsid w:val="00B4327C"/>
    <w:rsid w:val="00B4353C"/>
    <w:rsid w:val="00B510DF"/>
    <w:rsid w:val="00B519F0"/>
    <w:rsid w:val="00B54478"/>
    <w:rsid w:val="00B57102"/>
    <w:rsid w:val="00B635D0"/>
    <w:rsid w:val="00B66107"/>
    <w:rsid w:val="00B67463"/>
    <w:rsid w:val="00B8498F"/>
    <w:rsid w:val="00B86003"/>
    <w:rsid w:val="00B906E1"/>
    <w:rsid w:val="00BA1ED4"/>
    <w:rsid w:val="00BB25D9"/>
    <w:rsid w:val="00BB7152"/>
    <w:rsid w:val="00BC1C7B"/>
    <w:rsid w:val="00BC511B"/>
    <w:rsid w:val="00BD48FC"/>
    <w:rsid w:val="00BE1CE6"/>
    <w:rsid w:val="00BE2A2F"/>
    <w:rsid w:val="00BE64A0"/>
    <w:rsid w:val="00BE6971"/>
    <w:rsid w:val="00BE7E5E"/>
    <w:rsid w:val="00BF6A19"/>
    <w:rsid w:val="00C02AFC"/>
    <w:rsid w:val="00C030AB"/>
    <w:rsid w:val="00C04C38"/>
    <w:rsid w:val="00C04EB8"/>
    <w:rsid w:val="00C05AE1"/>
    <w:rsid w:val="00C132A7"/>
    <w:rsid w:val="00C16325"/>
    <w:rsid w:val="00C168A4"/>
    <w:rsid w:val="00C23611"/>
    <w:rsid w:val="00C349C3"/>
    <w:rsid w:val="00C34B29"/>
    <w:rsid w:val="00C41022"/>
    <w:rsid w:val="00C5024A"/>
    <w:rsid w:val="00C51A35"/>
    <w:rsid w:val="00C5562A"/>
    <w:rsid w:val="00C5717B"/>
    <w:rsid w:val="00C57BBD"/>
    <w:rsid w:val="00C61D23"/>
    <w:rsid w:val="00C66B7C"/>
    <w:rsid w:val="00C70799"/>
    <w:rsid w:val="00C73F46"/>
    <w:rsid w:val="00C808C3"/>
    <w:rsid w:val="00C81BCD"/>
    <w:rsid w:val="00C84F7D"/>
    <w:rsid w:val="00C86382"/>
    <w:rsid w:val="00C91713"/>
    <w:rsid w:val="00C920B8"/>
    <w:rsid w:val="00C9568E"/>
    <w:rsid w:val="00C96E6C"/>
    <w:rsid w:val="00CA2D69"/>
    <w:rsid w:val="00CB07CC"/>
    <w:rsid w:val="00CB3CA4"/>
    <w:rsid w:val="00CB5255"/>
    <w:rsid w:val="00CC1192"/>
    <w:rsid w:val="00CC5FF7"/>
    <w:rsid w:val="00CC7D7A"/>
    <w:rsid w:val="00CD006C"/>
    <w:rsid w:val="00CD0A4B"/>
    <w:rsid w:val="00CD3C33"/>
    <w:rsid w:val="00CD54CA"/>
    <w:rsid w:val="00CD61A5"/>
    <w:rsid w:val="00CE0BB4"/>
    <w:rsid w:val="00CE5076"/>
    <w:rsid w:val="00CE5DF7"/>
    <w:rsid w:val="00D05E06"/>
    <w:rsid w:val="00D164DF"/>
    <w:rsid w:val="00D20BD3"/>
    <w:rsid w:val="00D21B84"/>
    <w:rsid w:val="00D226B6"/>
    <w:rsid w:val="00D2273A"/>
    <w:rsid w:val="00D237ED"/>
    <w:rsid w:val="00D26F94"/>
    <w:rsid w:val="00D274E2"/>
    <w:rsid w:val="00D4459A"/>
    <w:rsid w:val="00D54538"/>
    <w:rsid w:val="00D72C9D"/>
    <w:rsid w:val="00D72E91"/>
    <w:rsid w:val="00D73882"/>
    <w:rsid w:val="00D8424C"/>
    <w:rsid w:val="00D905A9"/>
    <w:rsid w:val="00D95029"/>
    <w:rsid w:val="00DA32B3"/>
    <w:rsid w:val="00DA722E"/>
    <w:rsid w:val="00DB3EA0"/>
    <w:rsid w:val="00DB6541"/>
    <w:rsid w:val="00DC00A8"/>
    <w:rsid w:val="00DC1E15"/>
    <w:rsid w:val="00DC2AE9"/>
    <w:rsid w:val="00DD3CA2"/>
    <w:rsid w:val="00DD45D1"/>
    <w:rsid w:val="00DD6F22"/>
    <w:rsid w:val="00DE6B34"/>
    <w:rsid w:val="00DF190C"/>
    <w:rsid w:val="00DF1EEE"/>
    <w:rsid w:val="00DF2479"/>
    <w:rsid w:val="00E21BC3"/>
    <w:rsid w:val="00E22858"/>
    <w:rsid w:val="00E22F13"/>
    <w:rsid w:val="00E278D0"/>
    <w:rsid w:val="00E30946"/>
    <w:rsid w:val="00E32771"/>
    <w:rsid w:val="00E32ECA"/>
    <w:rsid w:val="00E37BF1"/>
    <w:rsid w:val="00E41A6A"/>
    <w:rsid w:val="00E4273D"/>
    <w:rsid w:val="00E43EE4"/>
    <w:rsid w:val="00E44FAB"/>
    <w:rsid w:val="00E45D97"/>
    <w:rsid w:val="00E5665B"/>
    <w:rsid w:val="00E66CDE"/>
    <w:rsid w:val="00E764BF"/>
    <w:rsid w:val="00E774A4"/>
    <w:rsid w:val="00E87543"/>
    <w:rsid w:val="00E9199F"/>
    <w:rsid w:val="00E952A0"/>
    <w:rsid w:val="00EA0CE1"/>
    <w:rsid w:val="00EA0D95"/>
    <w:rsid w:val="00EA2412"/>
    <w:rsid w:val="00EA47BF"/>
    <w:rsid w:val="00EB2D60"/>
    <w:rsid w:val="00EB64A2"/>
    <w:rsid w:val="00EB68C8"/>
    <w:rsid w:val="00EB6E6C"/>
    <w:rsid w:val="00EC07CE"/>
    <w:rsid w:val="00EC3C8E"/>
    <w:rsid w:val="00EC47B4"/>
    <w:rsid w:val="00ED5B5F"/>
    <w:rsid w:val="00ED6FBE"/>
    <w:rsid w:val="00EE2335"/>
    <w:rsid w:val="00EE5076"/>
    <w:rsid w:val="00EE54A9"/>
    <w:rsid w:val="00EF1629"/>
    <w:rsid w:val="00EF6BCB"/>
    <w:rsid w:val="00F013CA"/>
    <w:rsid w:val="00F0535A"/>
    <w:rsid w:val="00F15EC7"/>
    <w:rsid w:val="00F16F5F"/>
    <w:rsid w:val="00F21AF9"/>
    <w:rsid w:val="00F227DB"/>
    <w:rsid w:val="00F23060"/>
    <w:rsid w:val="00F34B6D"/>
    <w:rsid w:val="00F376ED"/>
    <w:rsid w:val="00F41F10"/>
    <w:rsid w:val="00F42395"/>
    <w:rsid w:val="00F4569C"/>
    <w:rsid w:val="00F53584"/>
    <w:rsid w:val="00F54CC7"/>
    <w:rsid w:val="00F55F53"/>
    <w:rsid w:val="00F614B8"/>
    <w:rsid w:val="00F66874"/>
    <w:rsid w:val="00F67AE4"/>
    <w:rsid w:val="00F71C73"/>
    <w:rsid w:val="00F74E39"/>
    <w:rsid w:val="00F85E1A"/>
    <w:rsid w:val="00F85F09"/>
    <w:rsid w:val="00F86349"/>
    <w:rsid w:val="00F87B1B"/>
    <w:rsid w:val="00F97F22"/>
    <w:rsid w:val="00FA13D1"/>
    <w:rsid w:val="00FB7B14"/>
    <w:rsid w:val="00FD1A11"/>
    <w:rsid w:val="00FD3D0B"/>
    <w:rsid w:val="00FD501E"/>
    <w:rsid w:val="00FD6A1D"/>
    <w:rsid w:val="00FE0BC1"/>
    <w:rsid w:val="00FE1FE2"/>
    <w:rsid w:val="00FE6E1F"/>
    <w:rsid w:val="00FE73F3"/>
    <w:rsid w:val="00FF69F0"/>
    <w:rsid w:val="019C03CF"/>
    <w:rsid w:val="03F1203E"/>
    <w:rsid w:val="04403AFE"/>
    <w:rsid w:val="074D2D29"/>
    <w:rsid w:val="094524FF"/>
    <w:rsid w:val="09817546"/>
    <w:rsid w:val="0ADE6155"/>
    <w:rsid w:val="0AFA7002"/>
    <w:rsid w:val="0B4C0CCC"/>
    <w:rsid w:val="0D3967D7"/>
    <w:rsid w:val="0D5D783D"/>
    <w:rsid w:val="11AB600B"/>
    <w:rsid w:val="11EF3F68"/>
    <w:rsid w:val="13AE085B"/>
    <w:rsid w:val="13DC4BCC"/>
    <w:rsid w:val="13DD5689"/>
    <w:rsid w:val="153D430C"/>
    <w:rsid w:val="1B904FB6"/>
    <w:rsid w:val="1F607374"/>
    <w:rsid w:val="224805CD"/>
    <w:rsid w:val="22A24E69"/>
    <w:rsid w:val="258015BE"/>
    <w:rsid w:val="28B5250B"/>
    <w:rsid w:val="29831312"/>
    <w:rsid w:val="2D397430"/>
    <w:rsid w:val="2D6E6A76"/>
    <w:rsid w:val="2FFE4989"/>
    <w:rsid w:val="312779B3"/>
    <w:rsid w:val="348113EA"/>
    <w:rsid w:val="34EC6A41"/>
    <w:rsid w:val="35D94F72"/>
    <w:rsid w:val="35E7310A"/>
    <w:rsid w:val="36775A8E"/>
    <w:rsid w:val="3A03112D"/>
    <w:rsid w:val="3BC14218"/>
    <w:rsid w:val="3E404FCA"/>
    <w:rsid w:val="3E4807E1"/>
    <w:rsid w:val="3E5E09E7"/>
    <w:rsid w:val="3FFEEAF3"/>
    <w:rsid w:val="406D0579"/>
    <w:rsid w:val="41834389"/>
    <w:rsid w:val="44537AF7"/>
    <w:rsid w:val="448A4217"/>
    <w:rsid w:val="46DF2BD7"/>
    <w:rsid w:val="477C39EF"/>
    <w:rsid w:val="479D7445"/>
    <w:rsid w:val="496163E1"/>
    <w:rsid w:val="4C1031D9"/>
    <w:rsid w:val="4CEF6FC4"/>
    <w:rsid w:val="4F097917"/>
    <w:rsid w:val="513D08D8"/>
    <w:rsid w:val="52DF02FB"/>
    <w:rsid w:val="52E23187"/>
    <w:rsid w:val="53AD3B54"/>
    <w:rsid w:val="545503CD"/>
    <w:rsid w:val="550F45CD"/>
    <w:rsid w:val="558867F2"/>
    <w:rsid w:val="56BA37D7"/>
    <w:rsid w:val="584D7CAF"/>
    <w:rsid w:val="586572FD"/>
    <w:rsid w:val="590D59E6"/>
    <w:rsid w:val="59FA434B"/>
    <w:rsid w:val="5BA619CA"/>
    <w:rsid w:val="5F14140D"/>
    <w:rsid w:val="5F2A6EC8"/>
    <w:rsid w:val="61FA38F8"/>
    <w:rsid w:val="63AA5E6C"/>
    <w:rsid w:val="67080599"/>
    <w:rsid w:val="672509BC"/>
    <w:rsid w:val="680D76E0"/>
    <w:rsid w:val="68731472"/>
    <w:rsid w:val="68A550A3"/>
    <w:rsid w:val="692D6DF3"/>
    <w:rsid w:val="69525F9F"/>
    <w:rsid w:val="69B65845"/>
    <w:rsid w:val="6B452B0C"/>
    <w:rsid w:val="6B453BC4"/>
    <w:rsid w:val="6BEA6E9B"/>
    <w:rsid w:val="6DD44612"/>
    <w:rsid w:val="6EBB54AA"/>
    <w:rsid w:val="6F6F2B26"/>
    <w:rsid w:val="704F758C"/>
    <w:rsid w:val="70C71E93"/>
    <w:rsid w:val="70D044BF"/>
    <w:rsid w:val="71D04E4A"/>
    <w:rsid w:val="71F87FCD"/>
    <w:rsid w:val="723054DF"/>
    <w:rsid w:val="72D54237"/>
    <w:rsid w:val="73B06908"/>
    <w:rsid w:val="757A64BA"/>
    <w:rsid w:val="75BB90A8"/>
    <w:rsid w:val="77D40C9B"/>
    <w:rsid w:val="783345DB"/>
    <w:rsid w:val="79364C2C"/>
    <w:rsid w:val="79C76AFC"/>
    <w:rsid w:val="7EEB3ED1"/>
    <w:rsid w:val="B7FF2917"/>
    <w:rsid w:val="E673DB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opacity="0f" focussize="0,0"/>
      <v:stroke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0"/>
    <w:pPr>
      <w:keepNext/>
      <w:keepLines/>
      <w:spacing w:before="260" w:after="260" w:line="416" w:lineRule="auto"/>
      <w:outlineLvl w:val="2"/>
    </w:pPr>
    <w:rPr>
      <w:b/>
      <w:bCs/>
      <w:sz w:val="32"/>
      <w:szCs w:val="32"/>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cs="Times New Roman"/>
      <w:sz w:val="20"/>
      <w:szCs w:val="20"/>
    </w:rPr>
  </w:style>
  <w:style w:type="paragraph" w:styleId="6">
    <w:name w:val="annotation text"/>
    <w:basedOn w:val="1"/>
    <w:link w:val="26"/>
    <w:uiPriority w:val="0"/>
    <w:pPr>
      <w:jc w:val="left"/>
    </w:pPr>
  </w:style>
  <w:style w:type="paragraph" w:styleId="7">
    <w:name w:val="toc 3"/>
    <w:basedOn w:val="1"/>
    <w:next w:val="1"/>
    <w:uiPriority w:val="39"/>
    <w:pPr>
      <w:ind w:left="200" w:leftChars="200"/>
    </w:pPr>
  </w:style>
  <w:style w:type="paragraph" w:styleId="8">
    <w:name w:val="Balloon Text"/>
    <w:basedOn w:val="1"/>
    <w:link w:val="27"/>
    <w:uiPriority w:val="0"/>
    <w:rPr>
      <w:sz w:val="18"/>
      <w:szCs w:val="18"/>
    </w:rPr>
  </w:style>
  <w:style w:type="paragraph" w:styleId="9">
    <w:name w:val="footer"/>
    <w:basedOn w:val="1"/>
    <w:link w:val="28"/>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Subtitle"/>
    <w:basedOn w:val="1"/>
    <w:next w:val="1"/>
    <w:link w:val="29"/>
    <w:qFormat/>
    <w:uiPriority w:val="0"/>
    <w:pPr>
      <w:spacing w:before="240" w:after="60" w:line="312" w:lineRule="auto"/>
      <w:jc w:val="center"/>
      <w:outlineLvl w:val="1"/>
    </w:pPr>
    <w:rPr>
      <w:rFonts w:ascii="等线 Light" w:hAnsi="等线 Light" w:cs="Times New Roman"/>
      <w:b/>
      <w:bCs/>
      <w:kern w:val="28"/>
      <w:sz w:val="32"/>
      <w:szCs w:val="32"/>
    </w:rPr>
  </w:style>
  <w:style w:type="paragraph" w:styleId="13">
    <w:name w:val="toc 2"/>
    <w:basedOn w:val="1"/>
    <w:next w:val="1"/>
    <w:qFormat/>
    <w:uiPriority w:val="39"/>
    <w:pPr>
      <w:ind w:left="20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6"/>
    <w:next w:val="6"/>
    <w:link w:val="30"/>
    <w:qFormat/>
    <w:uiPriority w:val="0"/>
    <w:rPr>
      <w:b/>
      <w:bCs/>
    </w:rPr>
  </w:style>
  <w:style w:type="table" w:styleId="17">
    <w:name w:val="Table Grid"/>
    <w:basedOn w:val="16"/>
    <w:qFormat/>
    <w:uiPriority w:val="0"/>
    <w:rPr>
      <w:rFonts w:ascii="Calibri" w:hAnsi="Calibri"/>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qFormat/>
    <w:uiPriority w:val="22"/>
    <w:rPr>
      <w:b/>
      <w:bCs/>
    </w:rPr>
  </w:style>
  <w:style w:type="character" w:styleId="20">
    <w:name w:val="page number"/>
    <w:basedOn w:val="18"/>
    <w:qFormat/>
    <w:uiPriority w:val="0"/>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character" w:customStyle="1" w:styleId="23">
    <w:name w:val="标题 1 字符"/>
    <w:link w:val="2"/>
    <w:qFormat/>
    <w:locked/>
    <w:uiPriority w:val="0"/>
    <w:rPr>
      <w:rFonts w:ascii="Calibri" w:hAnsi="Calibri" w:eastAsia="宋体"/>
      <w:b/>
      <w:bCs/>
      <w:kern w:val="44"/>
      <w:sz w:val="44"/>
      <w:szCs w:val="44"/>
      <w:lang w:val="en-US" w:eastAsia="zh-CN" w:bidi="ar-SA"/>
    </w:rPr>
  </w:style>
  <w:style w:type="character" w:customStyle="1" w:styleId="24">
    <w:name w:val="标题 2 字符"/>
    <w:link w:val="3"/>
    <w:qFormat/>
    <w:locked/>
    <w:uiPriority w:val="0"/>
    <w:rPr>
      <w:rFonts w:ascii="Cambria" w:hAnsi="Cambria" w:eastAsia="宋体"/>
      <w:b/>
      <w:bCs/>
      <w:kern w:val="2"/>
      <w:sz w:val="32"/>
      <w:szCs w:val="32"/>
      <w:lang w:val="en-US" w:eastAsia="zh-CN" w:bidi="ar-SA"/>
    </w:rPr>
  </w:style>
  <w:style w:type="character" w:customStyle="1" w:styleId="25">
    <w:name w:val="标题 3 字符"/>
    <w:link w:val="4"/>
    <w:qFormat/>
    <w:locked/>
    <w:uiPriority w:val="0"/>
    <w:rPr>
      <w:rFonts w:ascii="Calibri" w:hAnsi="Calibri" w:eastAsia="宋体"/>
      <w:b/>
      <w:bCs/>
      <w:kern w:val="2"/>
      <w:sz w:val="32"/>
      <w:szCs w:val="32"/>
      <w:lang w:val="en-US" w:eastAsia="zh-CN" w:bidi="ar-SA"/>
    </w:rPr>
  </w:style>
  <w:style w:type="character" w:customStyle="1" w:styleId="26">
    <w:name w:val="批注文字 字符"/>
    <w:link w:val="6"/>
    <w:qFormat/>
    <w:uiPriority w:val="0"/>
    <w:rPr>
      <w:rFonts w:ascii="Calibri" w:hAnsi="Calibri"/>
      <w:kern w:val="2"/>
      <w:sz w:val="21"/>
      <w:szCs w:val="22"/>
    </w:rPr>
  </w:style>
  <w:style w:type="character" w:customStyle="1" w:styleId="27">
    <w:name w:val="批注框文本 字符"/>
    <w:link w:val="8"/>
    <w:qFormat/>
    <w:uiPriority w:val="0"/>
    <w:rPr>
      <w:rFonts w:ascii="Calibri" w:hAnsi="Calibri"/>
      <w:kern w:val="2"/>
      <w:sz w:val="18"/>
      <w:szCs w:val="18"/>
    </w:rPr>
  </w:style>
  <w:style w:type="character" w:customStyle="1" w:styleId="28">
    <w:name w:val="页脚 字符"/>
    <w:link w:val="9"/>
    <w:qFormat/>
    <w:uiPriority w:val="99"/>
    <w:rPr>
      <w:rFonts w:ascii="Calibri" w:hAnsi="Calibri"/>
      <w:kern w:val="2"/>
      <w:sz w:val="18"/>
      <w:szCs w:val="18"/>
    </w:rPr>
  </w:style>
  <w:style w:type="character" w:customStyle="1" w:styleId="29">
    <w:name w:val="副标题 字符"/>
    <w:link w:val="12"/>
    <w:qFormat/>
    <w:uiPriority w:val="0"/>
    <w:rPr>
      <w:rFonts w:ascii="等线 Light" w:hAnsi="等线 Light" w:cs="Times New Roman"/>
      <w:b/>
      <w:bCs/>
      <w:kern w:val="28"/>
      <w:sz w:val="32"/>
      <w:szCs w:val="32"/>
    </w:rPr>
  </w:style>
  <w:style w:type="character" w:customStyle="1" w:styleId="30">
    <w:name w:val="批注主题 字符"/>
    <w:link w:val="15"/>
    <w:qFormat/>
    <w:uiPriority w:val="0"/>
    <w:rPr>
      <w:rFonts w:ascii="Calibri" w:hAnsi="Calibri"/>
      <w:b/>
      <w:bCs/>
      <w:kern w:val="2"/>
      <w:sz w:val="21"/>
      <w:szCs w:val="22"/>
    </w:rPr>
  </w:style>
  <w:style w:type="character" w:customStyle="1" w:styleId="31">
    <w:name w:val="段 Char"/>
    <w:link w:val="32"/>
    <w:qFormat/>
    <w:locked/>
    <w:uiPriority w:val="99"/>
    <w:rPr>
      <w:rFonts w:ascii="宋体"/>
      <w:kern w:val="2"/>
      <w:sz w:val="21"/>
      <w:szCs w:val="22"/>
      <w:lang w:bidi="ar-SA"/>
    </w:rPr>
  </w:style>
  <w:style w:type="paragraph" w:customStyle="1" w:styleId="32">
    <w:name w:val="段"/>
    <w:link w:val="31"/>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bidi="ar-SA"/>
    </w:rPr>
  </w:style>
  <w:style w:type="paragraph" w:customStyle="1" w:styleId="33">
    <w:name w:val="封面标准号2"/>
    <w:qFormat/>
    <w:uiPriority w:val="99"/>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34">
    <w:name w:val="封面标准名称"/>
    <w:qFormat/>
    <w:uiPriority w:val="99"/>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szCs w:val="22"/>
      <w:lang w:val="en-US" w:eastAsia="zh-CN" w:bidi="ar-SA"/>
    </w:rPr>
  </w:style>
  <w:style w:type="paragraph" w:customStyle="1" w:styleId="35">
    <w:name w:val="_Style 34"/>
    <w:basedOn w:val="2"/>
    <w:next w:val="1"/>
    <w:unhideWhenUsed/>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2218</Words>
  <Characters>13155</Characters>
  <Lines>44</Lines>
  <Paragraphs>12</Paragraphs>
  <TotalTime>0</TotalTime>
  <ScaleCrop>false</ScaleCrop>
  <LinksUpToDate>false</LinksUpToDate>
  <CharactersWithSpaces>15178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2022-04-15T15:07:00Z</dcterms:created>
  <dc:creator>Administrator</dc:creator>
  <cp:lastModifiedBy>小牛同学</cp:lastModifiedBy>
  <cp:lastPrinted>2021-12-15T16:53:00Z</cp:lastPrinted>
  <dcterms:modified xsi:type="dcterms:W3CDTF">2026-09-15T06:42:09Z</dcterms:modified>
  <dc:title>FOD300开放式激光甲烷遥测仪</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eyJoZGlkIjoiNjIzMjlhNjFkMTlkMWMzMDk2MTYzZGJiNGZiNzNiY2MiLCJ1c2VySWQiOiIxNTQ4OTQ1OTE5In0=</vt:lpwstr>
  </property>
  <property fmtid="{D5CDD505-2E9C-101B-9397-08002B2CF9AE}" pid="4" name="ICV">
    <vt:lpwstr>B6FDF494C3ED4C2E9399D74D6862D3FE_13</vt:lpwstr>
  </property>
</Properties>
</file>