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23E0E">
      <w:pPr>
        <w:rPr>
          <w:rFonts w:hint="eastAsia" w:ascii="宋体" w:hAnsi="宋体" w:cs="仿宋"/>
        </w:rPr>
      </w:pPr>
      <w:bookmarkStart w:id="68" w:name="_GoBack"/>
      <w:bookmarkEnd w:id="68"/>
    </w:p>
    <w:p w14:paraId="3FF18B17">
      <w:pPr>
        <w:rPr>
          <w:rFonts w:hint="eastAsia" w:ascii="宋体" w:hAnsi="宋体" w:cs="黑体"/>
        </w:rPr>
      </w:pPr>
    </w:p>
    <w:p w14:paraId="233F3AB1">
      <w:pPr>
        <w:rPr>
          <w:rFonts w:hint="eastAsia" w:ascii="宋体" w:hAnsi="宋体" w:cs="黑体"/>
        </w:rPr>
      </w:pPr>
    </w:p>
    <w:p w14:paraId="4A4A26E5">
      <w:pPr>
        <w:rPr>
          <w:rFonts w:hint="eastAsia" w:ascii="宋体" w:hAnsi="宋体" w:cs="黑体"/>
        </w:rPr>
      </w:pPr>
    </w:p>
    <w:p w14:paraId="5DE345FC">
      <w:pPr>
        <w:rPr>
          <w:rFonts w:hint="eastAsia" w:ascii="宋体" w:hAnsi="宋体" w:cs="黑体"/>
        </w:rPr>
      </w:pPr>
    </w:p>
    <w:p w14:paraId="4758D617">
      <w:pPr>
        <w:jc w:val="center"/>
        <w:rPr>
          <w:rFonts w:hint="default" w:ascii="宋体" w:hAnsi="宋体" w:cs="黑体"/>
          <w:sz w:val="44"/>
          <w:szCs w:val="44"/>
          <w:lang w:val="en-US"/>
        </w:rPr>
      </w:pPr>
      <w:r>
        <w:rPr>
          <w:rFonts w:hint="default" w:ascii="Times New Roman" w:hAnsi="宋体" w:eastAsia="宋体" w:cs="黑体"/>
          <w:kern w:val="2"/>
          <w:sz w:val="44"/>
          <w:szCs w:val="44"/>
          <w:lang w:val="en-US" w:eastAsia="zh-CN" w:bidi="ar-SA"/>
        </w:rPr>
        <w:t>Лазерный прибор дистанционного зондирования газа открытого типа</w:t>
      </w:r>
    </w:p>
    <w:p w14:paraId="41C0EF22">
      <w:pPr>
        <w:jc w:val="center"/>
        <w:rPr>
          <w:rFonts w:hint="eastAsia" w:ascii="宋体" w:hAnsi="宋体" w:cs="黑体"/>
          <w:sz w:val="44"/>
          <w:szCs w:val="44"/>
          <w:lang w:val="en-US" w:eastAsia="zh-CN"/>
        </w:rPr>
      </w:pPr>
    </w:p>
    <w:p w14:paraId="7E5C127E">
      <w:pPr>
        <w:jc w:val="center"/>
        <w:rPr>
          <w:rFonts w:hint="default" w:ascii="宋体" w:hAnsi="宋体" w:eastAsia="宋体" w:cs="黑体"/>
          <w:sz w:val="44"/>
          <w:szCs w:val="44"/>
          <w:lang w:val="en-US" w:eastAsia="zh-CN"/>
        </w:rPr>
      </w:pPr>
      <w:r>
        <w:rPr>
          <w:rFonts w:hint="default" w:ascii="Times New Roman" w:hAnsi="宋体" w:eastAsia="宋体" w:cs="黑体"/>
          <w:kern w:val="2"/>
          <w:sz w:val="44"/>
          <w:szCs w:val="44"/>
          <w:lang w:val="en-US" w:eastAsia="zh-CN" w:bidi="ar-SA"/>
        </w:rPr>
        <w:t>G6000B</w:t>
      </w:r>
    </w:p>
    <w:p w14:paraId="413E6D7C">
      <w:pPr>
        <w:rPr>
          <w:rFonts w:hint="eastAsia" w:ascii="宋体" w:hAnsi="宋体" w:cs="黑体"/>
        </w:rPr>
      </w:pPr>
    </w:p>
    <w:p w14:paraId="0365FE77">
      <w:pPr>
        <w:rPr>
          <w:rFonts w:hint="eastAsia" w:ascii="宋体" w:hAnsi="宋体" w:cs="黑体"/>
        </w:rPr>
      </w:pPr>
    </w:p>
    <w:p w14:paraId="1BBB35C3">
      <w:pPr>
        <w:jc w:val="center"/>
        <w:rPr>
          <w:rFonts w:hint="default" w:ascii="宋体" w:hAnsi="宋体" w:cs="黑体"/>
          <w:sz w:val="44"/>
          <w:szCs w:val="44"/>
          <w:lang w:val="en-US"/>
        </w:rPr>
      </w:pPr>
      <w:r>
        <w:rPr>
          <w:rFonts w:hint="default" w:ascii="Times New Roman" w:hAnsi="宋体" w:eastAsia="宋体" w:cs="黑体"/>
          <w:kern w:val="2"/>
          <w:sz w:val="44"/>
          <w:szCs w:val="44"/>
          <w:lang w:val="en-US" w:eastAsia="zh-CN" w:bidi="ar-SA"/>
        </w:rPr>
        <w:t>руководство по эксплуатации</w:t>
      </w:r>
    </w:p>
    <w:p w14:paraId="6D93FE41">
      <w:pPr>
        <w:rPr>
          <w:rFonts w:ascii="宋体" w:hAnsi="宋体" w:cs="仿宋"/>
        </w:rPr>
      </w:pPr>
    </w:p>
    <w:p w14:paraId="2D960DB9">
      <w:pPr>
        <w:rPr>
          <w:rFonts w:ascii="宋体" w:hAnsi="宋体" w:cs="仿宋"/>
        </w:rPr>
      </w:pPr>
    </w:p>
    <w:p w14:paraId="4EC5D723">
      <w:pPr>
        <w:rPr>
          <w:rFonts w:ascii="宋体" w:hAnsi="宋体" w:cs="仿宋"/>
        </w:rPr>
      </w:pPr>
    </w:p>
    <w:p w14:paraId="58EEBAAF">
      <w:pPr>
        <w:rPr>
          <w:rFonts w:ascii="宋体" w:hAnsi="宋体" w:cs="仿宋"/>
        </w:rPr>
      </w:pPr>
    </w:p>
    <w:p w14:paraId="7A06AFA6">
      <w:pPr>
        <w:rPr>
          <w:rFonts w:ascii="宋体" w:hAnsi="宋体" w:cs="仿宋"/>
        </w:rPr>
      </w:pPr>
    </w:p>
    <w:p w14:paraId="3DB4D8F8">
      <w:pPr>
        <w:rPr>
          <w:rFonts w:ascii="宋体" w:hAnsi="宋体" w:cs="仿宋"/>
        </w:rPr>
      </w:pPr>
      <w:r>
        <w:drawing>
          <wp:anchor distT="0" distB="0" distL="114300" distR="114300" simplePos="0" relativeHeight="251659264" behindDoc="0" locked="0" layoutInCell="1" allowOverlap="1">
            <wp:simplePos x="0" y="0"/>
            <wp:positionH relativeFrom="column">
              <wp:posOffset>614045</wp:posOffset>
            </wp:positionH>
            <wp:positionV relativeFrom="paragraph">
              <wp:posOffset>38100</wp:posOffset>
            </wp:positionV>
            <wp:extent cx="3363595" cy="1299210"/>
            <wp:effectExtent l="0" t="0" r="14605" b="21590"/>
            <wp:wrapNone/>
            <wp:docPr id="1" name="图片 42"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2" descr="BEY43966{[37KV4UA@ZQ(_Q"/>
                    <pic:cNvPicPr>
                      <a:picLocks noChangeAspect="1"/>
                    </pic:cNvPicPr>
                  </pic:nvPicPr>
                  <pic:blipFill>
                    <a:blip r:embed="rId8"/>
                    <a:srcRect t="40907" b="20334"/>
                    <a:stretch>
                      <a:fillRect/>
                    </a:stretch>
                  </pic:blipFill>
                  <pic:spPr>
                    <a:xfrm>
                      <a:off x="0" y="0"/>
                      <a:ext cx="3363595" cy="1299210"/>
                    </a:xfrm>
                    <a:prstGeom prst="rect">
                      <a:avLst/>
                    </a:prstGeom>
                    <a:noFill/>
                    <a:ln>
                      <a:noFill/>
                    </a:ln>
                  </pic:spPr>
                </pic:pic>
              </a:graphicData>
            </a:graphic>
          </wp:anchor>
        </w:drawing>
      </w:r>
    </w:p>
    <w:p w14:paraId="5926E17C">
      <w:pPr>
        <w:rPr>
          <w:rFonts w:ascii="宋体" w:hAnsi="宋体" w:cs="仿宋"/>
        </w:rPr>
      </w:pPr>
    </w:p>
    <w:p w14:paraId="637C7597">
      <w:pPr>
        <w:rPr>
          <w:rFonts w:ascii="宋体" w:hAnsi="宋体" w:cs="仿宋"/>
        </w:rPr>
      </w:pPr>
    </w:p>
    <w:p w14:paraId="30935C8F">
      <w:pPr>
        <w:rPr>
          <w:rFonts w:ascii="宋体" w:hAnsi="宋体" w:cs="仿宋"/>
        </w:rPr>
      </w:pPr>
    </w:p>
    <w:p w14:paraId="737938E8">
      <w:pPr>
        <w:rPr>
          <w:rFonts w:ascii="宋体" w:hAnsi="宋体" w:cs="仿宋"/>
        </w:rPr>
      </w:pPr>
    </w:p>
    <w:p w14:paraId="31007B64">
      <w:pPr>
        <w:rPr>
          <w:rFonts w:ascii="宋体" w:hAnsi="宋体" w:cs="仿宋"/>
        </w:rPr>
      </w:pPr>
    </w:p>
    <w:p w14:paraId="4F189EF2">
      <w:pPr>
        <w:rPr>
          <w:rFonts w:hint="eastAsia" w:ascii="宋体" w:hAnsi="宋体" w:cs="仿宋"/>
        </w:rPr>
      </w:pPr>
    </w:p>
    <w:p w14:paraId="7B5CB919">
      <w:pPr>
        <w:rPr>
          <w:rFonts w:ascii="宋体" w:hAnsi="宋体" w:cs="仿宋"/>
        </w:rPr>
      </w:pPr>
    </w:p>
    <w:p w14:paraId="71C2CC40">
      <w:pPr>
        <w:rPr>
          <w:rFonts w:hint="eastAsia" w:ascii="宋体" w:hAnsi="宋体" w:cs="仿宋"/>
        </w:rPr>
      </w:pPr>
    </w:p>
    <w:p w14:paraId="07A90422">
      <w:pPr>
        <w:jc w:val="center"/>
        <w:rPr>
          <w:rFonts w:hint="eastAsia" w:ascii="宋体" w:hAnsi="宋体" w:cs="仿宋"/>
        </w:rPr>
      </w:pPr>
    </w:p>
    <w:p w14:paraId="2C41169B">
      <w:pPr>
        <w:rPr>
          <w:rFonts w:hint="eastAsia" w:ascii="宋体" w:hAnsi="宋体" w:cs="仿宋"/>
        </w:rPr>
      </w:pPr>
    </w:p>
    <w:p w14:paraId="47C735D0">
      <w:pPr>
        <w:rPr>
          <w:rFonts w:hint="eastAsia" w:ascii="宋体" w:hAnsi="宋体" w:cs="仿宋"/>
        </w:rPr>
      </w:pPr>
    </w:p>
    <w:p w14:paraId="514E61E5">
      <w:pPr>
        <w:rPr>
          <w:rFonts w:ascii="宋体" w:hAnsi="宋体" w:cs="仿宋"/>
        </w:rPr>
      </w:pPr>
    </w:p>
    <w:p w14:paraId="38CA468D">
      <w:pPr>
        <w:jc w:val="center"/>
        <w:rPr>
          <w:rFonts w:hint="default" w:ascii="宋体" w:hAnsi="宋体" w:cs="仿宋"/>
          <w:sz w:val="32"/>
          <w:szCs w:val="32"/>
          <w:lang w:val="en-US"/>
        </w:rPr>
      </w:pPr>
      <w:r>
        <w:rPr>
          <w:rFonts w:hint="default" w:ascii="Times New Roman" w:hAnsi="仿宋" w:eastAsia="仿宋" w:cs="仿宋"/>
          <w:b/>
          <w:kern w:val="2"/>
          <w:sz w:val="32"/>
          <w:szCs w:val="32"/>
          <w:lang w:val="en-US" w:eastAsia="zh-CN" w:bidi="ar-SA"/>
        </w:rPr>
        <w:t>Henan Otywell Electronic Technology Co., Ltd.</w:t>
      </w:r>
    </w:p>
    <w:p w14:paraId="08DDA4BF">
      <w:pPr>
        <w:rPr>
          <w:rFonts w:hint="eastAsia" w:ascii="宋体" w:hAnsi="宋体" w:cs="仿宋"/>
        </w:rPr>
      </w:pPr>
    </w:p>
    <w:p w14:paraId="363AC6D3">
      <w:pPr>
        <w:rPr>
          <w:rFonts w:hint="eastAsia" w:ascii="宋体" w:hAnsi="宋体" w:cs="仿宋"/>
        </w:rPr>
      </w:pPr>
    </w:p>
    <w:p w14:paraId="6B62694B">
      <w:pPr>
        <w:rPr>
          <w:rFonts w:hint="eastAsia" w:ascii="宋体" w:hAnsi="宋体" w:cs="仿宋"/>
        </w:rPr>
      </w:pPr>
    </w:p>
    <w:p w14:paraId="27083F29">
      <w:pPr>
        <w:rPr>
          <w:rFonts w:hint="eastAsia" w:ascii="宋体" w:hAnsi="宋体" w:cs="仿宋"/>
        </w:rPr>
      </w:pPr>
    </w:p>
    <w:p w14:paraId="7C9C88F0">
      <w:pPr>
        <w:rPr>
          <w:rFonts w:hint="eastAsia" w:ascii="宋体" w:hAnsi="宋体" w:cs="仿宋"/>
        </w:rPr>
      </w:pPr>
    </w:p>
    <w:p w14:paraId="6772FED3">
      <w:pPr>
        <w:jc w:val="center"/>
        <w:rPr>
          <w:rFonts w:hint="default" w:ascii="宋体" w:hAnsi="宋体" w:cs="黑体"/>
          <w:b/>
          <w:bCs/>
          <w:sz w:val="32"/>
          <w:szCs w:val="32"/>
          <w:lang w:val="en-US"/>
        </w:rPr>
      </w:pPr>
      <w:r>
        <w:rPr>
          <w:rFonts w:hint="default" w:ascii="Times New Roman" w:hAnsi="宋体" w:eastAsia="宋体" w:cs="黑体"/>
          <w:b/>
          <w:bCs/>
          <w:kern w:val="2"/>
          <w:sz w:val="32"/>
          <w:szCs w:val="32"/>
          <w:lang w:val="en-US" w:eastAsia="zh-CN" w:bidi="ar-SA"/>
        </w:rPr>
        <w:t>каталог</w:t>
      </w:r>
    </w:p>
    <w:p w14:paraId="661AF5D3">
      <w:pPr>
        <w:pStyle w:val="11"/>
        <w:tabs>
          <w:tab w:val="right" w:leader="dot" w:pos="7134"/>
        </w:tabs>
        <w:rPr>
          <w:rFonts w:hint="default" w:ascii="等线" w:hAnsi="等线" w:eastAsia="等线"/>
          <w:lang w:val="en-US"/>
        </w:rPr>
      </w:pPr>
      <w:r>
        <w:fldChar w:fldCharType="begin"/>
      </w:r>
      <w:r>
        <w:instrText xml:space="preserve"> TOC \o "1-3" \h \z \u </w:instrText>
      </w:r>
      <w:r>
        <w:fldChar w:fldCharType="separate"/>
      </w:r>
      <w:r>
        <w:rPr>
          <w:rStyle w:val="21"/>
          <w:rFonts w:ascii="Times New Roman"/>
          <w:lang w:val="en-US"/>
        </w:rPr>
        <w:fldChar w:fldCharType="begin"/>
      </w:r>
      <w:r>
        <w:rPr>
          <w:rStyle w:val="21"/>
          <w:rFonts w:ascii="Times New Roman"/>
          <w:lang w:val="en-US"/>
        </w:rPr>
        <w:instrText xml:space="preserve"> HYPERLINK \l "_Toc90393091" </w:instrText>
      </w:r>
      <w:r>
        <w:rPr>
          <w:rStyle w:val="21"/>
          <w:rFonts w:ascii="Times New Roman"/>
          <w:lang w:val="en-US"/>
        </w:rPr>
        <w:fldChar w:fldCharType="separate"/>
      </w:r>
      <w:r>
        <w:rPr>
          <w:rStyle w:val="21"/>
          <w:rFonts w:ascii="Times New Roman"/>
          <w:lang w:val="en-US"/>
        </w:rPr>
        <w:t>I. Обязательная информация для пользователей 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D1A18E3">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"_Toc90393092" </w:instrText>
      </w:r>
      <w:r>
        <w:rPr>
          <w:rStyle w:val="21"/>
          <w:rFonts w:ascii="Times New Roman"/>
          <w:lang w:val="en-US"/>
        </w:rPr>
        <w:fldChar w:fldCharType="separate"/>
      </w:r>
      <w:r>
        <w:rPr>
          <w:rStyle w:val="21"/>
          <w:rFonts w:ascii="Times New Roman"/>
          <w:lang w:val="en-US"/>
        </w:rPr>
        <w:t>1.1 Указания для пользователя 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1264C8F">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"_Toc90393093" </w:instrText>
      </w:r>
      <w:r>
        <w:rPr>
          <w:rStyle w:val="21"/>
          <w:rFonts w:ascii="Times New Roman"/>
          <w:lang w:val="en-US"/>
        </w:rPr>
        <w:fldChar w:fldCharType="separate"/>
      </w:r>
      <w:r>
        <w:rPr>
          <w:rStyle w:val="21"/>
          <w:rFonts w:ascii="Times New Roman"/>
          <w:lang w:val="en-US"/>
        </w:rPr>
        <w:t>1.2 Гарантия качества и условия освобождения от ответственности 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DB2D97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"_Toc90393094" </w:instrText>
      </w:r>
      <w:r>
        <w:rPr>
          <w:rStyle w:val="21"/>
          <w:rFonts w:ascii="Times New Roman"/>
          <w:lang w:val="en-US"/>
        </w:rPr>
        <w:fldChar w:fldCharType="separate"/>
      </w:r>
      <w:r>
        <w:rPr>
          <w:rStyle w:val="21"/>
          <w:rFonts w:ascii="Times New Roman"/>
          <w:lang w:val="en-US"/>
        </w:rPr>
        <w:t>1.3 Стандарты, которым соответствует данное изделие 25</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EF3B06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"_Toc90393095" </w:instrText>
      </w:r>
      <w:r>
        <w:rPr>
          <w:rStyle w:val="21"/>
          <w:rFonts w:ascii="Times New Roman"/>
          <w:lang w:val="en-US"/>
        </w:rPr>
        <w:fldChar w:fldCharType="separate"/>
      </w:r>
      <w:r>
        <w:rPr>
          <w:rStyle w:val="21"/>
          <w:rFonts w:ascii="Times New Roman"/>
          <w:lang w:val="en-US"/>
        </w:rPr>
        <w:t>1.4 Меры безопасности 25</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7B31370C">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"_Toc90393096" </w:instrText>
      </w:r>
      <w:r>
        <w:rPr>
          <w:rStyle w:val="21"/>
          <w:rFonts w:ascii="Times New Roman"/>
          <w:lang w:val="en-US"/>
        </w:rPr>
        <w:fldChar w:fldCharType="separate"/>
      </w:r>
      <w:r>
        <w:rPr>
          <w:rStyle w:val="21"/>
          <w:rFonts w:ascii="Times New Roman"/>
          <w:lang w:val="en-US"/>
        </w:rPr>
        <w:t>1.4.1 Меры безопасной эксплуатации приборов 25</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70048A5">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"_Toc90393097" </w:instrText>
      </w:r>
      <w:r>
        <w:rPr>
          <w:rStyle w:val="21"/>
          <w:rFonts w:ascii="Times New Roman"/>
          <w:lang w:val="en-US"/>
        </w:rPr>
        <w:fldChar w:fldCharType="separate"/>
      </w:r>
      <w:r>
        <w:rPr>
          <w:rStyle w:val="21"/>
          <w:rFonts w:ascii="Times New Roman"/>
          <w:lang w:val="en-US"/>
        </w:rPr>
        <w:t>1.4.2 Прочие меры безопасности 25</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557D4B4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"_Toc90393098" </w:instrText>
      </w:r>
      <w:r>
        <w:rPr>
          <w:rStyle w:val="21"/>
          <w:rFonts w:ascii="Times New Roman"/>
          <w:lang w:val="en-US"/>
        </w:rPr>
        <w:fldChar w:fldCharType="separate"/>
      </w:r>
      <w:r>
        <w:rPr>
          <w:rStyle w:val="21"/>
          <w:rFonts w:ascii="Times New Roman"/>
          <w:lang w:val="en-US"/>
        </w:rPr>
        <w:t>1.5 Предотвращение использования неисправного оборудования 36</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CFFAD48">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"_Toc90393099" </w:instrText>
      </w:r>
      <w:r>
        <w:rPr>
          <w:rStyle w:val="21"/>
          <w:rFonts w:ascii="Times New Roman"/>
          <w:lang w:val="en-US"/>
        </w:rPr>
        <w:fldChar w:fldCharType="separate"/>
      </w:r>
      <w:r>
        <w:rPr>
          <w:rStyle w:val="21"/>
          <w:rFonts w:ascii="Times New Roman"/>
          <w:lang w:val="en-US"/>
        </w:rPr>
        <w:t>II. Описание изделия 46</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6E9E4B4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"_Toc90393100" </w:instrText>
      </w:r>
      <w:r>
        <w:rPr>
          <w:rStyle w:val="21"/>
          <w:rFonts w:ascii="Times New Roman"/>
          <w:lang w:val="en-US"/>
        </w:rPr>
        <w:fldChar w:fldCharType="separate"/>
      </w:r>
      <w:r>
        <w:rPr>
          <w:rStyle w:val="21"/>
          <w:rFonts w:ascii="Times New Roman"/>
          <w:lang w:val="en-US"/>
        </w:rPr>
        <w:t>2.1 Обзор изделия 46</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485D9F5">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"_Toc90393101" </w:instrText>
      </w:r>
      <w:r>
        <w:rPr>
          <w:rStyle w:val="21"/>
          <w:rFonts w:ascii="Times New Roman"/>
          <w:lang w:val="en-US"/>
        </w:rPr>
        <w:fldChar w:fldCharType="separate"/>
      </w:r>
      <w:r>
        <w:rPr>
          <w:rStyle w:val="21"/>
          <w:rFonts w:ascii="Times New Roman"/>
          <w:lang w:val="en-US"/>
        </w:rPr>
        <w:t>2.1.1 Принцип обнаружения 47</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29EAB80D">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"_Toc90393102" </w:instrText>
      </w:r>
      <w:r>
        <w:rPr>
          <w:rStyle w:val="21"/>
          <w:rFonts w:ascii="Times New Roman"/>
          <w:lang w:val="en-US"/>
        </w:rPr>
        <w:fldChar w:fldCharType="separate"/>
      </w:r>
      <w:r>
        <w:rPr>
          <w:rStyle w:val="21"/>
          <w:rFonts w:ascii="Times New Roman"/>
          <w:lang w:val="en-US"/>
        </w:rPr>
        <w:t>2.2 Приёмопередающее устройство 47</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157680F6">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"_Toc90393103" </w:instrText>
      </w:r>
      <w:r>
        <w:rPr>
          <w:rStyle w:val="21"/>
          <w:rFonts w:ascii="Times New Roman"/>
          <w:lang w:val="en-US"/>
        </w:rPr>
        <w:fldChar w:fldCharType="separate"/>
      </w:r>
      <w:r>
        <w:rPr>
          <w:rStyle w:val="21"/>
          <w:rFonts w:ascii="Times New Roman"/>
          <w:lang w:val="en-US"/>
        </w:rPr>
        <w:t>2.3 Приёмное устройство 47</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D4B69EC">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"_Toc90393104" </w:instrText>
      </w:r>
      <w:r>
        <w:rPr>
          <w:rStyle w:val="21"/>
          <w:rFonts w:ascii="Times New Roman"/>
          <w:lang w:val="en-US"/>
        </w:rPr>
        <w:fldChar w:fldCharType="separate"/>
      </w:r>
      <w:r>
        <w:rPr>
          <w:rStyle w:val="21"/>
          <w:rFonts w:ascii="Times New Roman"/>
          <w:lang w:val="en-US"/>
        </w:rPr>
        <w:t>III. Порядок эксплуатации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752E8E0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"_Toc90393105" </w:instrText>
      </w:r>
      <w:r>
        <w:rPr>
          <w:rStyle w:val="21"/>
          <w:rFonts w:ascii="Times New Roman"/>
          <w:lang w:val="en-US"/>
        </w:rPr>
        <w:fldChar w:fldCharType="separate"/>
      </w:r>
      <w:r>
        <w:rPr>
          <w:rStyle w:val="21"/>
          <w:rFonts w:ascii="Times New Roman"/>
          <w:lang w:val="en-US"/>
        </w:rPr>
        <w:t>3.1 Проверка оборудования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3C4C187">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"_Toc90393106" </w:instrText>
      </w:r>
      <w:r>
        <w:rPr>
          <w:rStyle w:val="21"/>
          <w:rFonts w:ascii="Times New Roman"/>
          <w:lang w:val="en-US"/>
        </w:rPr>
        <w:fldChar w:fldCharType="separate"/>
      </w:r>
      <w:r>
        <w:rPr>
          <w:rStyle w:val="21"/>
          <w:rFonts w:ascii="Times New Roman"/>
          <w:lang w:val="en-US"/>
        </w:rPr>
        <w:t>3.2 Эксплуатация оборудования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0E7621A">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"_Toc90393107" </w:instrText>
      </w:r>
      <w:r>
        <w:rPr>
          <w:rStyle w:val="21"/>
          <w:rFonts w:ascii="Times New Roman"/>
          <w:lang w:val="en-US"/>
        </w:rPr>
        <w:fldChar w:fldCharType="separate"/>
      </w:r>
      <w:r>
        <w:rPr>
          <w:rStyle w:val="21"/>
          <w:rFonts w:ascii="Times New Roman"/>
          <w:lang w:val="en-US"/>
        </w:rPr>
        <w:t>IV. Порядок монтажа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26EC54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"_Toc90393108" </w:instrText>
      </w:r>
      <w:r>
        <w:rPr>
          <w:rStyle w:val="21"/>
          <w:rFonts w:ascii="Times New Roman"/>
          <w:lang w:val="en-US"/>
        </w:rPr>
        <w:fldChar w:fldCharType="separate"/>
      </w:r>
      <w:r>
        <w:rPr>
          <w:rStyle w:val="21"/>
          <w:rFonts w:ascii="Times New Roman"/>
          <w:lang w:val="en-US"/>
        </w:rPr>
        <w:t>4.1 Требования к условиям монтажа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A4AB55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"_Toc90393109" </w:instrText>
      </w:r>
      <w:r>
        <w:rPr>
          <w:rStyle w:val="21"/>
          <w:rFonts w:ascii="Times New Roman"/>
          <w:lang w:val="en-US"/>
        </w:rPr>
        <w:fldChar w:fldCharType="separate"/>
      </w:r>
      <w:r>
        <w:rPr>
          <w:rStyle w:val="21"/>
          <w:rFonts w:ascii="Times New Roman"/>
          <w:lang w:val="en-US"/>
        </w:rPr>
        <w:t>4.2 Требования к месту монтажа 68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754AA27E">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"_Toc90393110" </w:instrText>
      </w:r>
      <w:r>
        <w:rPr>
          <w:rStyle w:val="21"/>
          <w:rFonts w:ascii="Times New Roman"/>
          <w:lang w:val="en-US"/>
        </w:rPr>
        <w:fldChar w:fldCharType="separate"/>
      </w:r>
      <w:r>
        <w:rPr>
          <w:rStyle w:val="21"/>
          <w:rFonts w:ascii="Times New Roman"/>
          <w:lang w:val="en-US"/>
        </w:rPr>
        <w:t>4.3 Монтажные размеры и требования 69</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2C894AF7">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"_Toc90393111" </w:instrText>
      </w:r>
      <w:r>
        <w:rPr>
          <w:rStyle w:val="21"/>
          <w:rFonts w:ascii="Times New Roman"/>
          <w:lang w:val="en-US"/>
        </w:rPr>
        <w:fldChar w:fldCharType="separate"/>
      </w:r>
      <w:r>
        <w:rPr>
          <w:rStyle w:val="21"/>
          <w:rFonts w:ascii="Times New Roman"/>
          <w:lang w:val="en-US"/>
        </w:rPr>
        <w:t>4.3.1 Схема внешнего вида и монтажных размеров 69</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0036A0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"_Toc90393112" </w:instrText>
      </w:r>
      <w:r>
        <w:rPr>
          <w:rStyle w:val="21"/>
          <w:rFonts w:ascii="Times New Roman"/>
          <w:lang w:val="en-US"/>
        </w:rPr>
        <w:fldChar w:fldCharType="separate"/>
      </w:r>
      <w:r>
        <w:rPr>
          <w:rStyle w:val="21"/>
          <w:rFonts w:ascii="Times New Roman"/>
          <w:lang w:val="en-US"/>
        </w:rPr>
        <w:t>4.3.2 Требования к монтажу 69</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9C599A2">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"_Toc90393113" </w:instrText>
      </w:r>
      <w:r>
        <w:rPr>
          <w:rStyle w:val="21"/>
          <w:rFonts w:ascii="Times New Roman"/>
          <w:lang w:val="en-US"/>
        </w:rPr>
        <w:fldChar w:fldCharType="separate"/>
      </w:r>
      <w:r>
        <w:rPr>
          <w:rStyle w:val="21"/>
          <w:rFonts w:ascii="Times New Roman"/>
          <w:lang w:val="en-US"/>
        </w:rPr>
        <w:t>4.4 Порядок монтажа и методы проверки 811</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075BF82">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"_Toc90393114" </w:instrText>
      </w:r>
      <w:r>
        <w:rPr>
          <w:rStyle w:val="21"/>
          <w:rFonts w:ascii="Times New Roman"/>
          <w:lang w:val="en-US"/>
        </w:rPr>
        <w:fldChar w:fldCharType="separate"/>
      </w:r>
      <w:r>
        <w:rPr>
          <w:rStyle w:val="21"/>
          <w:rFonts w:ascii="Times New Roman"/>
          <w:lang w:val="en-US"/>
        </w:rPr>
        <w:t>4.5 Требования к монтажу интерфейсов и разъёмов 912</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2AF2924">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"_Toc90393115" </w:instrText>
      </w:r>
      <w:r>
        <w:rPr>
          <w:rStyle w:val="21"/>
          <w:rFonts w:ascii="Times New Roman"/>
          <w:lang w:val="en-US"/>
        </w:rPr>
        <w:fldChar w:fldCharType="separate"/>
      </w:r>
      <w:r>
        <w:rPr>
          <w:rStyle w:val="21"/>
          <w:rFonts w:ascii="Times New Roman"/>
          <w:lang w:val="en-US"/>
        </w:rPr>
        <w:t>4.6 Меры предосторожности при монтаже 912</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68E9296F">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"_Toc90393116" </w:instrText>
      </w:r>
      <w:r>
        <w:rPr>
          <w:rStyle w:val="21"/>
          <w:rFonts w:ascii="Times New Roman"/>
          <w:lang w:val="en-US"/>
        </w:rPr>
        <w:fldChar w:fldCharType="separate"/>
      </w:r>
      <w:r>
        <w:rPr>
          <w:rStyle w:val="21"/>
          <w:rFonts w:ascii="Times New Roman"/>
          <w:lang w:val="en-US"/>
        </w:rPr>
        <w:t>V. Факторы, влияющие на точность 1013</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5B4450F9">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"_Toc90393117" </w:instrText>
      </w:r>
      <w:r>
        <w:rPr>
          <w:rStyle w:val="21"/>
          <w:rFonts w:ascii="Times New Roman"/>
          <w:lang w:val="en-US"/>
        </w:rPr>
        <w:fldChar w:fldCharType="separate"/>
      </w:r>
      <w:r>
        <w:rPr>
          <w:rStyle w:val="21"/>
          <w:rFonts w:ascii="Times New Roman"/>
          <w:lang w:val="en-US"/>
        </w:rPr>
        <w:t>VI. Устранение типичных неисправностей 1013</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5ED8685A">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"_Toc90393118" </w:instrText>
      </w:r>
      <w:r>
        <w:rPr>
          <w:rStyle w:val="21"/>
          <w:rFonts w:ascii="Times New Roman"/>
          <w:lang w:val="en-US"/>
        </w:rPr>
        <w:fldChar w:fldCharType="separate"/>
      </w:r>
      <w:r>
        <w:rPr>
          <w:rStyle w:val="21"/>
          <w:rFonts w:ascii="Times New Roman"/>
          <w:lang w:val="en-US"/>
        </w:rPr>
        <w:t>VII. Приложение 1114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56D708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"_Toc90393119" </w:instrText>
      </w:r>
      <w:r>
        <w:rPr>
          <w:rStyle w:val="21"/>
          <w:rFonts w:ascii="Times New Roman"/>
          <w:lang w:val="en-US"/>
        </w:rPr>
        <w:fldChar w:fldCharType="separate"/>
      </w:r>
      <w:r>
        <w:rPr>
          <w:rStyle w:val="21"/>
          <w:rFonts w:ascii="Times New Roman"/>
          <w:lang w:val="en-US"/>
        </w:rPr>
        <w:t>7.1 Ежедневное техническое обслуживание и уход 1114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540BEF7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"_Toc90393120" </w:instrText>
      </w:r>
      <w:r>
        <w:rPr>
          <w:rStyle w:val="21"/>
          <w:rFonts w:ascii="Times New Roman"/>
          <w:lang w:val="en-US"/>
        </w:rPr>
        <w:fldChar w:fldCharType="separate"/>
      </w:r>
      <w:r>
        <w:rPr>
          <w:rStyle w:val="21"/>
          <w:rFonts w:ascii="Times New Roman"/>
          <w:lang w:val="en-US"/>
        </w:rPr>
        <w:t>7.2 Таблица рабочих параметров 1114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F96F375">
      <w:r>
        <w:fldChar w:fldCharType="end"/>
      </w:r>
    </w:p>
    <w:p w14:paraId="1A591B89">
      <w:pPr>
        <w:rPr>
          <w:rFonts w:hint="eastAsia"/>
        </w:rPr>
        <w:sectPr>
          <w:headerReference r:id="rId3" w:type="default"/>
          <w:footerReference r:id="rId4" w:type="even"/>
          <w:pgSz w:w="10319" w:h="14572"/>
          <w:pgMar w:top="1474" w:right="1474" w:bottom="1474" w:left="1701" w:header="851" w:footer="992" w:gutter="0"/>
          <w:pgNumType w:start="1"/>
          <w:cols w:space="720" w:num="1"/>
          <w:titlePg/>
          <w:docGrid w:type="lines" w:linePitch="312" w:charSpace="0"/>
        </w:sectPr>
      </w:pPr>
    </w:p>
    <w:p w14:paraId="559A6119">
      <w:pPr>
        <w:pStyle w:val="2"/>
        <w:spacing w:before="240" w:after="240" w:line="240" w:lineRule="auto"/>
        <w:jc w:val="left"/>
        <w:rPr>
          <w:rFonts w:hint="default" w:ascii="宋体" w:hAnsi="宋体" w:cs="黑体"/>
          <w:b w:val="0"/>
          <w:bCs w:val="0"/>
          <w:sz w:val="32"/>
          <w:szCs w:val="32"/>
          <w:lang w:val="en-US"/>
        </w:rPr>
      </w:pPr>
      <w:bookmarkStart w:id="0" w:name="_Toc90393091"/>
      <w:bookmarkStart w:id="1" w:name="_Toc90392200"/>
      <w:r>
        <w:rPr>
          <w:rFonts w:hint="default" w:ascii="Times New Roman" w:hAnsi="宋体" w:eastAsia="宋体" w:cs="Times New Roman"/>
          <w:b/>
          <w:bCs/>
          <w:kern w:val="44"/>
          <w:sz w:val="44"/>
          <w:szCs w:val="44"/>
          <w:lang w:val="en-US" w:eastAsia="zh-CN" w:bidi="ar-SA"/>
        </w:rPr>
        <w:t>1. Обязательная информация для пользователей</w:t>
      </w:r>
      <w:bookmarkEnd w:id="0"/>
      <w:bookmarkEnd w:id="1"/>
    </w:p>
    <w:p w14:paraId="13CCD787">
      <w:pPr>
        <w:ind w:firstLine="480" w:firstLineChars="200"/>
        <w:rPr>
          <w:rFonts w:hint="default" w:ascii="宋体" w:hAnsi="宋体" w:cs="宋体"/>
          <w:sz w:val="24"/>
          <w:szCs w:val="24"/>
          <w:lang w:val="en-US"/>
        </w:rPr>
      </w:pPr>
      <w:r>
        <w:rPr>
          <w:rFonts w:hint="default" w:ascii="Times New Roman" w:hAnsi="宋体" w:eastAsia="宋体" w:cs="宋体"/>
          <w:kern w:val="2"/>
          <w:sz w:val="24"/>
          <w:szCs w:val="24"/>
          <w:lang w:val="en-US" w:eastAsia="zh-CN" w:bidi="ar-SA"/>
        </w:rPr>
        <w:t>Данный прибор был откалиброван перед отгрузкой.</w:t>
      </w:r>
    </w:p>
    <w:p w14:paraId="1B2F1650">
      <w:pPr>
        <w:pStyle w:val="4"/>
        <w:spacing w:before="240" w:after="240" w:line="240" w:lineRule="auto"/>
        <w:rPr>
          <w:rFonts w:hint="default" w:ascii="宋体" w:hAnsi="宋体"/>
          <w:lang w:val="en-US"/>
        </w:rPr>
      </w:pPr>
      <w:bookmarkStart w:id="2" w:name="_Toc422918615"/>
      <w:bookmarkStart w:id="3" w:name="_Toc422909509"/>
      <w:bookmarkStart w:id="4" w:name="_Toc90393092"/>
      <w:r>
        <w:rPr>
          <w:rFonts w:hint="default" w:ascii="Times New Roman" w:hAnsi="宋体" w:eastAsia="宋体" w:cs="Times New Roman"/>
          <w:b/>
          <w:bCs/>
          <w:kern w:val="2"/>
          <w:sz w:val="32"/>
          <w:szCs w:val="32"/>
          <w:lang w:val="en-US" w:eastAsia="zh-CN" w:bidi="ar-SA"/>
        </w:rPr>
        <w:t xml:space="preserve">1.1 Указания для пользователя</w:t>
      </w:r>
      <w:bookmarkEnd w:id="2"/>
      <w:bookmarkEnd w:id="3"/>
      <w:r>
        <w:rPr>
          <w:rFonts w:hint="default" w:ascii="Times New Roman" w:hAnsi="宋体" w:eastAsia="宋体" w:cs="Times New Roman"/>
          <w:b/>
          <w:bCs/>
          <w:kern w:val="2"/>
          <w:sz w:val="32"/>
          <w:szCs w:val="32"/>
          <w:lang w:val="en-US" w:eastAsia="zh-CN" w:bidi="ar-SA"/>
        </w:rPr>
        <w:t/>
      </w:r>
      <w:bookmarkEnd w:id="4"/>
      <w:r>
        <w:rPr>
          <w:rFonts w:hint="default" w:ascii="Times New Roman" w:hAnsi="宋体" w:eastAsia="宋体" w:cs="Times New Roman"/>
          <w:b/>
          <w:bCs/>
          <w:kern w:val="2"/>
          <w:sz w:val="32"/>
          <w:szCs w:val="32"/>
          <w:lang w:val="en-US" w:eastAsia="zh-CN" w:bidi="ar-SA"/>
        </w:rPr>
        <w:t xml:space="preserve"/>
      </w:r>
    </w:p>
    <w:p w14:paraId="5462FED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Благодарим за выбор лазерной газотелеметрической системы открытого типа G6000B (далее — Телеметрическая система). Перед использованием данного изделия внимательно прочитайте данное руководство. Оно содержит важную информацию по эксплуатации и технические характеристики, которые пользователи обязаны строго соблюдать для обеспечения правильной работы системы. Изложенные указания также помогут пользователям правильно эксплуатировать устройство и получать точные результаты анализа.</w:t>
      </w:r>
    </w:p>
    <w:p w14:paraId="5DEB6D52">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Данное руководство содержит исчерпывающие указания по правильному использованию телеметрических приборов и служит точным справочным материалом для специалистов, прошедших профессиональное обучение или обладающих соответствующими знаниями в области эксплуатации и управления приборами. Перед эксплуатацией приборов убедитесь, что вы полностью усвоили изложенные в данном руководстве указания по безопасности и предупреждения, и применяйте их в практической работе. В силу ряда ограничений данное руководство не может содержать подробного описания для каждой ситуации. Если пользователям требуется дополнительная информация или помощь по вопросам, не освещённым в нём, обращайтесь в компанию Henan Outewell Electronic Technology Co., Ltd. по телефону 400-811-8873.</w:t>
      </w:r>
    </w:p>
    <w:p w14:paraId="4AFB09D6">
      <w:pPr>
        <w:pStyle w:val="4"/>
        <w:spacing w:before="240" w:after="240" w:line="240" w:lineRule="auto"/>
        <w:rPr>
          <w:rFonts w:hint="default" w:ascii="宋体" w:hAnsi="宋体"/>
          <w:lang w:val="en-US"/>
        </w:rPr>
      </w:pPr>
      <w:bookmarkStart w:id="5" w:name="_Toc90393093"/>
      <w:r>
        <w:rPr>
          <w:rFonts w:hint="default" w:ascii="Times New Roman" w:hAnsi="宋体" w:eastAsia="宋体" w:cs="Times New Roman"/>
          <w:b/>
          <w:bCs/>
          <w:kern w:val="2"/>
          <w:sz w:val="32"/>
          <w:szCs w:val="32"/>
          <w:lang w:val="en-US" w:eastAsia="zh-CN" w:bidi="ar-SA"/>
        </w:rPr>
        <w:t>1.2 Гарантия качества и условия освобождения от ответственности</w:t>
      </w:r>
      <w:bookmarkEnd w:id="5"/>
    </w:p>
    <w:p w14:paraId="0690B96B">
      <w:pPr>
        <w:ind w:firstLine="420"/>
        <w:rPr>
          <w:rFonts w:hint="default" w:ascii="宋体" w:hAnsi="宋体" w:cs="宋体"/>
          <w:szCs w:val="21"/>
          <w:lang w:val="en-US"/>
        </w:rPr>
      </w:pPr>
      <w:r>
        <w:rPr>
          <w:rFonts w:hint="default" w:ascii="Times New Roman" w:hAnsi="宋体" w:eastAsia="宋体" w:cs="宋体"/>
          <w:kern w:val="2"/>
          <w:sz w:val="21"/>
          <w:szCs w:val="21"/>
          <w:lang w:val="en-US" w:eastAsia="zh-CN" w:bidi="ar-SA"/>
        </w:rPr>
        <w:t>Выбирая Outeiwei, вы выбираете высококачественные изделия. Все изделия нашей компании подлежат бесплатному ремонту в течение гарантийного срока; после истечения гарантийного срока взимается соответствующая плата за замену компонентов. При возникновении любых проблем в процессе эксплуатации свяжитесь с нами для оперативной помощи. На весь прибор распространяется гарантия сроком один год.</w:t>
      </w:r>
    </w:p>
    <w:p w14:paraId="0C6F46A9">
      <w:pPr>
        <w:jc w:val="left"/>
        <w:rPr>
          <w:rFonts w:hint="default" w:ascii="宋体" w:hAnsi="宋体"/>
          <w:lang w:val="en-US"/>
        </w:rPr>
      </w:pPr>
      <w:r>
        <w:rPr>
          <w:rFonts w:hint="default" w:ascii="Times New Roman" w:hAnsi="宋体" w:eastAsia="宋体" w:cs="Times New Roman"/>
          <w:kern w:val="2"/>
          <w:sz w:val="21"/>
          <w:szCs w:val="22"/>
          <w:lang w:val="en-US" w:eastAsia="zh-CN" w:bidi="ar-SA"/>
        </w:rPr>
        <w:t>Любой ремонт после истечения гарантийного срока, а также ремонт в течение гарантийного срока при наличии следующих неисправностей считается послегарантийным ремонтом, на который бесплатное гарантийное обслуживание не распространяется. Компания Outeiwell оставляет за собой право взимать плату за выездное техническое обслуживание. К таким неисправностям относятся, в частности:</w:t>
      </w:r>
    </w:p>
    <w:p w14:paraId="73B55335">
      <w:pPr>
        <w:jc w:val="left"/>
        <w:rPr>
          <w:rFonts w:hint="default" w:ascii="宋体" w:hAnsi="宋体"/>
          <w:lang w:val="en-US"/>
        </w:rPr>
      </w:pPr>
      <w:r>
        <w:rPr>
          <w:rFonts w:hint="default" w:ascii="Times New Roman" w:hAnsi="宋体" w:eastAsia="宋体" w:cs="Times New Roman"/>
          <w:kern w:val="2"/>
          <w:sz w:val="21"/>
          <w:szCs w:val="22"/>
          <w:lang w:val="en-US" w:eastAsia="zh-CN" w:bidi="ar-SA"/>
        </w:rPr>
        <w:t>1) вследствие ненадлежащей эксплуатации (попадание воды внутрь, коррозия, пожар или электрические помехи от высоковольтных цепей);</w:t>
      </w:r>
    </w:p>
    <w:p w14:paraId="162B5160">
      <w:pPr>
        <w:jc w:val="left"/>
        <w:rPr>
          <w:rFonts w:hint="default" w:ascii="宋体" w:hAnsi="宋体"/>
          <w:lang w:val="en-US"/>
        </w:rPr>
      </w:pPr>
      <w:r>
        <w:rPr>
          <w:rFonts w:hint="default" w:ascii="Times New Roman" w:hAnsi="宋体" w:eastAsia="宋体" w:cs="Times New Roman"/>
          <w:kern w:val="2"/>
          <w:sz w:val="21"/>
          <w:szCs w:val="22"/>
          <w:lang w:val="en-US" w:eastAsia="zh-CN" w:bidi="ar-SA"/>
        </w:rPr>
        <w:t>2) обстоятельства непреодолимой силы (повреждения, вызванные землетрясениями, ударами молнии, наводнениями и т. п.);</w:t>
      </w:r>
    </w:p>
    <w:p w14:paraId="2CAF1081">
      <w:pPr>
        <w:jc w:val="left"/>
        <w:rPr>
          <w:rFonts w:hint="default" w:ascii="宋体" w:hAnsi="宋体"/>
          <w:lang w:val="en-US"/>
        </w:rPr>
      </w:pPr>
      <w:r>
        <w:rPr>
          <w:rFonts w:hint="default" w:ascii="Times New Roman" w:hAnsi="宋体" w:eastAsia="宋体" w:cs="Times New Roman"/>
          <w:kern w:val="2"/>
          <w:sz w:val="21"/>
          <w:szCs w:val="22"/>
          <w:lang w:val="en-US" w:eastAsia="zh-CN" w:bidi="ar-SA"/>
        </w:rPr>
        <w:t>3) несанкционированная модификация внутренних узлов изделия без разрешения;</w:t>
      </w:r>
    </w:p>
    <w:p w14:paraId="55217DE3">
      <w:pPr>
        <w:jc w:val="left"/>
        <w:rPr>
          <w:rFonts w:hint="default" w:ascii="宋体" w:hAnsi="宋体"/>
          <w:lang w:val="en-US"/>
        </w:rPr>
      </w:pPr>
      <w:r>
        <w:rPr>
          <w:rFonts w:hint="default" w:ascii="Times New Roman" w:hAnsi="宋体" w:eastAsia="宋体" w:cs="Times New Roman"/>
          <w:kern w:val="2"/>
          <w:sz w:val="21"/>
          <w:szCs w:val="22"/>
          <w:lang w:val="en-US" w:eastAsia="zh-CN" w:bidi="ar-SA"/>
        </w:rPr>
        <w:t>4) несоблюдение руководства пользователя и правил обучения при эксплуатации изделия, приведшее к его повреждению;</w:t>
      </w:r>
    </w:p>
    <w:p w14:paraId="4A31BEB7">
      <w:pPr>
        <w:rPr>
          <w:rFonts w:hint="default" w:ascii="宋体" w:hAnsi="宋体"/>
          <w:lang w:val="en-US"/>
        </w:rPr>
      </w:pPr>
      <w:r>
        <w:rPr>
          <w:rFonts w:hint="default" w:ascii="Times New Roman" w:hAnsi="宋体" w:eastAsia="宋体" w:cs="Times New Roman"/>
          <w:kern w:val="2"/>
          <w:sz w:val="21"/>
          <w:szCs w:val="22"/>
          <w:lang w:val="en-US" w:eastAsia="zh-CN" w:bidi="ar-SA"/>
        </w:rPr>
        <w:t>Данное руководство распространяется только на приборы и компоненты, проданные покупателям авторизованными поставщиками, дистрибьюторами и представителями компании Otover.</w:t>
      </w:r>
    </w:p>
    <w:p w14:paraId="4EDD0752">
      <w:pPr>
        <w:rPr>
          <w:rFonts w:hint="eastAsia" w:ascii="宋体" w:hAnsi="宋体"/>
        </w:rPr>
      </w:pPr>
    </w:p>
    <w:p w14:paraId="308F9B41">
      <w:pPr>
        <w:pStyle w:val="4"/>
        <w:spacing w:before="240" w:after="240" w:line="240" w:lineRule="auto"/>
        <w:rPr>
          <w:rFonts w:hint="default" w:ascii="宋体" w:hAnsi="宋体"/>
          <w:lang w:val="en-US"/>
        </w:rPr>
      </w:pPr>
      <w:bookmarkStart w:id="6" w:name="_Toc90393094"/>
      <w:bookmarkStart w:id="7" w:name="_Toc422918616"/>
      <w:bookmarkStart w:id="8" w:name="_Toc422909510"/>
      <w:r>
        <w:rPr>
          <w:rFonts w:hint="default" w:ascii="Times New Roman" w:hAnsi="宋体" w:eastAsia="宋体" w:cs="Times New Roman"/>
          <w:b/>
          <w:bCs/>
          <w:kern w:val="2"/>
          <w:sz w:val="32"/>
          <w:szCs w:val="32"/>
          <w:lang w:val="en-US" w:eastAsia="zh-CN" w:bidi="ar-SA"/>
        </w:rPr>
        <w:t>1.3 Стандарты, которым соответствует данное изделие</w:t>
      </w:r>
      <w:bookmarkEnd w:id="6"/>
      <w:bookmarkEnd w:id="7"/>
      <w:bookmarkEnd w:id="8"/>
    </w:p>
    <w:p w14:paraId="0C67DC20">
      <w:pPr>
        <w:rPr>
          <w:rFonts w:hint="default" w:ascii="宋体" w:hAnsi="宋体" w:cs="宋体"/>
          <w:lang w:val="en-US"/>
        </w:rPr>
      </w:pPr>
      <w:r>
        <w:rPr>
          <w:rFonts w:hint="default" w:ascii="Times New Roman" w:hAnsi="宋体" w:eastAsia="宋体" w:cs="宋体"/>
          <w:kern w:val="2"/>
          <w:sz w:val="21"/>
          <w:szCs w:val="22"/>
          <w:lang w:val="en-US" w:eastAsia="zh-CN" w:bidi="ar-SA"/>
        </w:rPr>
        <w:t>GB 3836.1-2010 Взрывоопасные среды. Часть 1: Оборудование. Общие требования</w:t>
      </w:r>
    </w:p>
    <w:p w14:paraId="33875611">
      <w:pPr>
        <w:rPr>
          <w:rFonts w:hint="default" w:ascii="宋体" w:hAnsi="宋体" w:cs="宋体"/>
          <w:lang w:val="en-US"/>
        </w:rPr>
      </w:pPr>
      <w:r>
        <w:rPr>
          <w:rFonts w:hint="default" w:ascii="Times New Roman" w:hAnsi="宋体" w:eastAsia="宋体" w:cs="宋体"/>
          <w:kern w:val="2"/>
          <w:sz w:val="21"/>
          <w:szCs w:val="22"/>
          <w:lang w:val="en-US" w:eastAsia="zh-CN" w:bidi="ar-SA"/>
        </w:rPr>
        <w:t>GB 3836.2-2010 Взрывоопасные среды. Часть 2: Оборудование с защитой вида «взрывонепроницаемая оболочка «d»»</w:t>
      </w:r>
    </w:p>
    <w:p w14:paraId="60364F3B">
      <w:pPr>
        <w:ind w:firstLine="210" w:firstLineChars="100"/>
        <w:rPr>
          <w:rFonts w:hint="default" w:ascii="宋体" w:hAnsi="宋体" w:cs="宋体"/>
          <w:lang w:val="en-US"/>
        </w:rPr>
      </w:pPr>
      <w:r>
        <w:rPr>
          <w:rFonts w:hint="default" w:ascii="Times New Roman" w:hAnsi="宋体" w:eastAsia="宋体" w:cs="宋体"/>
          <w:bCs/>
          <w:kern w:val="2"/>
          <w:sz w:val="21"/>
          <w:szCs w:val="22"/>
          <w:lang w:val="en-US" w:eastAsia="zh-CN" w:bidi="ar-SA"/>
        </w:rPr>
        <w:t>IEC60079-28:2006 Взрывоопасные среды. Часть 28: Меры защиты для оборудования оптического излучения и систем передачи</w:t>
      </w:r>
    </w:p>
    <w:p w14:paraId="62D19512">
      <w:pPr>
        <w:rPr>
          <w:rFonts w:hint="default" w:ascii="宋体" w:hAnsi="宋体" w:cs="宋体"/>
          <w:lang w:val="en-US"/>
        </w:rPr>
      </w:pPr>
      <w:r>
        <w:rPr>
          <w:rFonts w:hint="default" w:ascii="Times New Roman" w:hAnsi="宋体" w:eastAsia="宋体" w:cs="宋体"/>
          <w:kern w:val="2"/>
          <w:sz w:val="21"/>
          <w:szCs w:val="22"/>
          <w:lang w:val="en-US" w:eastAsia="zh-CN" w:bidi="ar-SA"/>
        </w:rPr>
        <w:t xml:space="preserve">  </w:t>
      </w:r>
    </w:p>
    <w:p w14:paraId="5B314381">
      <w:pPr>
        <w:pStyle w:val="4"/>
        <w:spacing w:before="240" w:after="240" w:line="240" w:lineRule="auto"/>
        <w:rPr>
          <w:rFonts w:hint="default" w:ascii="宋体" w:hAnsi="宋体"/>
          <w:lang w:val="en-US"/>
        </w:rPr>
      </w:pPr>
      <w:bookmarkStart w:id="9" w:name="_Toc90393095"/>
      <w:r>
        <w:rPr>
          <w:rFonts w:hint="default" w:ascii="Times New Roman" w:hAnsi="宋体" w:eastAsia="宋体" w:cs="Times New Roman"/>
          <w:b/>
          <w:bCs/>
          <w:kern w:val="2"/>
          <w:sz w:val="32"/>
          <w:szCs w:val="32"/>
          <w:lang w:val="en-US" w:eastAsia="zh-CN" w:bidi="ar-SA"/>
        </w:rPr>
        <w:t>1.4 Меры безопасности</w:t>
      </w:r>
      <w:bookmarkEnd w:id="9"/>
    </w:p>
    <w:p w14:paraId="2106DC37">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Перед использованием данного прибора убедитесь, что вы прочитали и поняли изложенные ниже меры безопасности.</w:t>
      </w:r>
    </w:p>
    <w:p w14:paraId="05D00E87">
      <w:pPr>
        <w:pStyle w:val="4"/>
        <w:spacing w:before="240" w:after="240" w:line="240" w:lineRule="auto"/>
        <w:rPr>
          <w:rFonts w:hint="default" w:ascii="宋体" w:hAnsi="宋体"/>
          <w:lang w:val="en-US"/>
        </w:rPr>
      </w:pPr>
      <w:bookmarkStart w:id="10" w:name="_Toc422909511"/>
      <w:bookmarkStart w:id="11" w:name="_Toc90393096"/>
      <w:r>
        <w:rPr>
          <w:rFonts w:hint="default" w:ascii="Times New Roman" w:hAnsi="宋体" w:eastAsia="宋体" w:cs="Times New Roman"/>
          <w:b/>
          <w:bCs/>
          <w:kern w:val="2"/>
          <w:sz w:val="28"/>
          <w:szCs w:val="32"/>
          <w:lang w:val="en-US" w:eastAsia="zh-CN" w:bidi="ar-SA"/>
        </w:rPr>
        <w:t>1.4.1 Меры безопасной эксплуатации приборов</w:t>
      </w:r>
      <w:bookmarkEnd w:id="10"/>
      <w:bookmarkEnd w:id="11"/>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28"/>
      </w:tblGrid>
      <w:tr w14:paraId="6030A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128" w:type="dxa"/>
            <w:noWrap w:val="0"/>
            <w:vAlign w:val="top"/>
          </w:tcPr>
          <w:p w14:paraId="3582FA21">
            <w:pPr>
              <w:ind w:firstLine="422" w:firstLineChars="200"/>
              <w:rPr>
                <w:rFonts w:hint="eastAsia" w:ascii="宋体" w:hAnsi="宋体" w:cs="宋体"/>
                <w:b/>
                <w:color w:val="FF0000"/>
              </w:rPr>
            </w:pPr>
          </w:p>
          <w:p w14:paraId="37A102C2">
            <w:pPr>
              <w:ind w:firstLine="422" w:firstLineChars="200"/>
              <w:rPr>
                <w:rFonts w:hint="default" w:ascii="宋体" w:hAnsi="宋体" w:cs="宋体"/>
                <w:b/>
                <w:lang w:val="en-US"/>
              </w:rPr>
            </w:pPr>
            <w:r>
              <w:rPr>
                <w:rFonts w:hint="default" w:ascii="Times New Roman" w:hAnsi="宋体" w:eastAsia="宋体" w:cs="宋体"/>
                <w:b/>
                <w:kern w:val="2"/>
                <w:sz w:val="21"/>
                <w:szCs w:val="22"/>
                <w:lang w:val="en-US" w:eastAsia="zh-CN" w:bidi="ar-SA"/>
              </w:rPr>
              <w:t>Внимание ：</w:t>
            </w:r>
          </w:p>
          <w:p w14:paraId="18DE5AD3">
            <w:pPr>
              <w:ind w:left="420"/>
              <w:rPr>
                <w:rFonts w:hint="default" w:ascii="宋体" w:hAnsi="宋体" w:cs="宋体"/>
                <w:lang w:val="en-US"/>
              </w:rPr>
            </w:pPr>
            <w:r>
              <w:rPr>
                <w:rFonts w:hint="default" w:ascii="Times New Roman" w:hAnsi="宋体" w:eastAsia="宋体" w:cs="宋体"/>
                <w:kern w:val="2"/>
                <w:sz w:val="21"/>
                <w:szCs w:val="22"/>
                <w:lang w:val="en-US" w:eastAsia="zh-CN" w:bidi="ar-SA"/>
              </w:rPr>
              <w:t>1. Прибор необходимо защищать от излучения высокотемпературных источников тепла, поскольку чрезмерно высокая или низкая температура может отрицательно повлиять на характеристики и срок службы датчика.</w:t>
            </w:r>
          </w:p>
          <w:p w14:paraId="1F99DEEE">
            <w:pPr>
              <w:ind w:left="420"/>
              <w:rPr>
                <w:rFonts w:hint="default" w:ascii="宋体" w:hAnsi="宋体" w:cs="宋体"/>
                <w:lang w:val="en-US"/>
              </w:rPr>
            </w:pPr>
            <w:r>
              <w:rPr>
                <w:rFonts w:hint="default" w:ascii="Times New Roman" w:hAnsi="宋体" w:eastAsia="宋体" w:cs="宋体"/>
                <w:kern w:val="2"/>
                <w:sz w:val="21"/>
                <w:szCs w:val="22"/>
                <w:lang w:val="en-US" w:eastAsia="zh-CN" w:bidi="ar-SA"/>
              </w:rPr>
              <w:t>2. Избегайте длительного взгляда на лазерный излучатель, чтобы предотвратить ожог глаз.</w:t>
            </w:r>
          </w:p>
          <w:p w14:paraId="40685F0B">
            <w:pPr>
              <w:ind w:left="420"/>
              <w:rPr>
                <w:rFonts w:hint="default" w:ascii="宋体" w:hAnsi="宋体" w:cs="宋体"/>
                <w:lang w:val="en-US"/>
              </w:rPr>
            </w:pPr>
            <w:r>
              <w:rPr>
                <w:rFonts w:hint="default" w:ascii="Times New Roman" w:hAnsi="宋体" w:eastAsia="宋体" w:cs="宋体"/>
                <w:kern w:val="2"/>
                <w:sz w:val="21"/>
                <w:szCs w:val="22"/>
                <w:lang w:val="en-US" w:eastAsia="zh-CN" w:bidi="ar-SA"/>
              </w:rPr>
              <w:t>3. Прибор имеет металлический корпус. Не касайтесь его при включённом питании во избежание поражения электрическим током.</w:t>
            </w:r>
          </w:p>
          <w:p w14:paraId="5DFA7B2C">
            <w:pPr>
              <w:ind w:left="420"/>
              <w:rPr>
                <w:rFonts w:hint="eastAsia" w:ascii="宋体" w:hAnsi="宋体" w:cs="宋体"/>
              </w:rPr>
            </w:pPr>
          </w:p>
        </w:tc>
      </w:tr>
    </w:tbl>
    <w:p w14:paraId="192C1EB9">
      <w:pPr>
        <w:pStyle w:val="4"/>
        <w:spacing w:before="240" w:after="240" w:line="240" w:lineRule="auto"/>
        <w:rPr>
          <w:rFonts w:hint="default" w:ascii="宋体" w:hAnsi="宋体"/>
          <w:sz w:val="28"/>
          <w:lang w:val="en-US"/>
        </w:rPr>
      </w:pPr>
      <w:bookmarkStart w:id="12" w:name="_Toc422909513"/>
      <w:bookmarkStart w:id="13" w:name="_Toc90393097"/>
      <w:r>
        <w:rPr>
          <w:rFonts w:hint="default" w:ascii="Times New Roman" w:hAnsi="宋体" w:eastAsia="宋体" w:cs="Times New Roman"/>
          <w:b/>
          <w:bCs/>
          <w:kern w:val="2"/>
          <w:sz w:val="28"/>
          <w:szCs w:val="32"/>
          <w:lang w:val="en-US" w:eastAsia="zh-CN" w:bidi="ar-SA"/>
        </w:rPr>
        <w:t>1.4.2 Прочие меры безопасности</w:t>
      </w:r>
      <w:bookmarkEnd w:id="12"/>
      <w:bookmarkEnd w:id="13"/>
    </w:p>
    <w:p w14:paraId="663A313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1) Данный прибор относится к прецизионному оборудованию. Не пытайтесь разбирать, модифицировать или изменять устройство. Если прибор не работает нормально или обнаруживаются неисправности, свяжитесь с нами.</w:t>
      </w:r>
    </w:p>
    <w:p w14:paraId="2EB8BEB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2) При случайном повреждении прибора немедленно прекратите эксплуатацию, отключите устройство, убедившись в безопасности окружающей обстановки, отсоедините электропитание и свяжитесь с нами.</w:t>
      </w:r>
    </w:p>
    <w:p w14:paraId="2D14B415">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3) Не используйте бензол, растворители или газообразные растворители для очистки корпуса или линз прибора;</w:t>
      </w:r>
    </w:p>
    <w:p w14:paraId="40E7C47D">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4) Способ вывода: для выходов 4-20 мА, подключаемых к безопасным зонам, необходимо установить барьер безопасности для предотвращения подачи внешней энергии перед подключением к другим устройствам; однако это не требуется при подключении к искробезопасному оборудованию.</w:t>
      </w:r>
    </w:p>
    <w:p w14:paraId="0E3AC82D">
      <w:pPr>
        <w:ind w:firstLine="420" w:firstLineChars="200"/>
        <w:rPr>
          <w:rFonts w:hint="eastAsia" w:ascii="宋体" w:hAnsi="宋体" w:cs="宋体"/>
          <w:szCs w:val="21"/>
        </w:rPr>
      </w:pPr>
    </w:p>
    <w:p w14:paraId="3056051B">
      <w:pPr>
        <w:pStyle w:val="4"/>
        <w:spacing w:before="240" w:after="240" w:line="240" w:lineRule="auto"/>
        <w:rPr>
          <w:rFonts w:hint="default" w:ascii="宋体" w:hAnsi="宋体"/>
          <w:lang w:val="en-US"/>
        </w:rPr>
      </w:pPr>
      <w:bookmarkStart w:id="14" w:name="_Toc422918617"/>
      <w:bookmarkStart w:id="15" w:name="_Toc422909514"/>
      <w:bookmarkStart w:id="16" w:name="_Toc90393098"/>
      <w:r>
        <w:rPr>
          <w:rFonts w:hint="default" w:ascii="Times New Roman" w:hAnsi="宋体" w:eastAsia="宋体" w:cs="Times New Roman"/>
          <w:b/>
          <w:bCs/>
          <w:kern w:val="2"/>
          <w:sz w:val="32"/>
          <w:szCs w:val="32"/>
          <w:lang w:val="en-US" w:eastAsia="zh-CN" w:bidi="ar-SA"/>
        </w:rPr>
        <w:t>1.5 Предотвращение использования неисправного оборудования</w:t>
      </w:r>
      <w:bookmarkEnd w:id="14"/>
      <w:bookmarkEnd w:id="15"/>
      <w:bookmarkEnd w:id="16"/>
    </w:p>
    <w:p w14:paraId="755224D2">
      <w:pPr>
        <w:ind w:firstLine="420" w:firstLineChars="200"/>
        <w:rPr>
          <w:rFonts w:hint="default" w:ascii="宋体" w:hAnsi="宋体" w:cs="仿宋"/>
          <w:lang w:val="en-US"/>
        </w:rPr>
      </w:pPr>
      <w:r>
        <w:rPr>
          <w:rFonts w:hint="default" w:ascii="Times New Roman" w:hAnsi="宋体" w:eastAsia="宋体" w:cs="宋体"/>
          <w:kern w:val="2"/>
          <w:sz w:val="21"/>
          <w:szCs w:val="21"/>
          <w:lang w:val="en-US" w:eastAsia="zh-CN" w:bidi="ar-SA"/>
        </w:rPr>
        <w:t>Чтобы свести к минимуму риск отказов, внимательно прочитайте следующее.</w:t>
      </w:r>
    </w:p>
    <w:p w14:paraId="4A4E967F">
      <w:pPr>
        <w:ind w:firstLine="420"/>
        <w:rPr>
          <w:rFonts w:hint="default"/>
          <w:lang w:val="en-US"/>
        </w:rPr>
      </w:pPr>
      <w:bookmarkStart w:id="17" w:name="_Toc422909516"/>
      <w:r>
        <w:rPr>
          <w:rFonts w:hint="default" w:ascii="Times New Roman" w:hAnsi="Calibri" w:eastAsia="宋体" w:cs="Times New Roman"/>
          <w:kern w:val="2"/>
          <w:sz w:val="21"/>
          <w:szCs w:val="22"/>
          <w:lang w:val="en-US" w:eastAsia="zh-CN" w:bidi="ar-SA"/>
        </w:rPr>
        <w:t>При использовании прибора в условиях повышенной влажности, таких как дождь или снег, а также в условиях тумана с высокой запылённостью необходимо соблюдать следующие меры предосторожности:</w:t>
      </w:r>
      <w:bookmarkEnd w:id="17"/>
      <w:r>
        <w:rPr>
          <w:rFonts w:hint="default" w:ascii="Times New Roman" w:hAnsi="Calibri" w:eastAsia="宋体" w:cs="Times New Roman"/>
          <w:kern w:val="2"/>
          <w:sz w:val="21"/>
          <w:szCs w:val="22"/>
          <w:lang w:val="en-US" w:eastAsia="zh-CN" w:bidi="ar-SA"/>
        </w:rPr>
        <w:t/>
      </w:r>
    </w:p>
    <w:p w14:paraId="3A57D2CB">
      <w:pPr>
        <w:ind w:firstLine="420" w:firstLineChars="200"/>
        <w:rPr>
          <w:rFonts w:hint="default" w:ascii="宋体" w:hAnsi="宋体" w:cs="宋体"/>
          <w:lang w:val="en-US"/>
        </w:rPr>
      </w:pPr>
      <w:r>
        <w:rPr>
          <w:rFonts w:hint="default" w:ascii="Times New Roman" w:hAnsi="宋体" w:eastAsia="宋体" w:cs="宋体"/>
          <w:kern w:val="2"/>
          <w:sz w:val="21"/>
          <w:szCs w:val="22"/>
          <w:lang w:val="en-US" w:eastAsia="zh-CN" w:bidi="ar-SA"/>
        </w:rPr>
        <w:t>Данный прибор сконструирован так, чтобы предотвращать попадание вертикально падающих капель воды внутрь. Для условий повышенной влажности, таких как дождь или снег, а также для среды с сильным смогом и высокой запылённостью следует учитывать следующие меры предосторожности и конкретные решения:</w:t>
      </w:r>
    </w:p>
    <w:p w14:paraId="71FFB192">
      <w:pPr>
        <w:rPr>
          <w:rFonts w:hint="default" w:ascii="宋体" w:hAnsi="宋体" w:cs="宋体"/>
          <w:lang w:val="en-US"/>
        </w:rPr>
      </w:pPr>
      <w:r>
        <w:rPr>
          <w:rFonts w:hint="default" w:ascii="Times New Roman" w:hAnsi="宋体" w:eastAsia="宋体" w:cs="宋体"/>
          <w:kern w:val="2"/>
          <w:sz w:val="21"/>
          <w:szCs w:val="22"/>
          <w:lang w:val="en-US" w:eastAsia="zh-CN" w:bidi="ar-SA"/>
        </w:rPr>
        <w:t>1) Стеклянные линзы приёмопередающего устройства изделия склонны к прилипанию капель воды в условиях повышенной влажности, таких как дождь или снег, что может нарушать приём сигнала и его интенсивность и тем самым влиять на нормальную работу. Прилипшие капли воды следует аккуратно удалять хлопчатобумажной тканью (как показано на рисунке ниже).</w:t>
      </w:r>
    </w:p>
    <w:p w14:paraId="4EA01312">
      <w:pPr>
        <w:jc w:val="center"/>
        <w:rPr>
          <w:rFonts w:hint="eastAsia" w:ascii="宋体" w:hAnsi="宋体" w:cs="仿宋"/>
        </w:rPr>
      </w:pPr>
      <w:r>
        <w:rPr>
          <w:rFonts w:hint="eastAsia" w:ascii="宋体" w:hAnsi="宋体" w:cs="仿宋"/>
        </w:rPr>
        <w:drawing>
          <wp:inline distT="0" distB="0" distL="114300" distR="114300">
            <wp:extent cx="1431290" cy="1543050"/>
            <wp:effectExtent l="0" t="0" r="1651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rcRect t="10326" b="7939"/>
                    <a:stretch>
                      <a:fillRect/>
                    </a:stretch>
                  </pic:blipFill>
                  <pic:spPr>
                    <a:xfrm>
                      <a:off x="0" y="0"/>
                      <a:ext cx="1431290" cy="1543050"/>
                    </a:xfrm>
                    <a:prstGeom prst="rect">
                      <a:avLst/>
                    </a:prstGeom>
                    <a:noFill/>
                    <a:ln>
                      <a:noFill/>
                    </a:ln>
                  </pic:spPr>
                </pic:pic>
              </a:graphicData>
            </a:graphic>
          </wp:inline>
        </w:drawing>
      </w:r>
    </w:p>
    <w:p w14:paraId="12A4ABC8">
      <w:pPr>
        <w:rPr>
          <w:rFonts w:hint="default" w:ascii="宋体" w:hAnsi="宋体" w:cs="宋体"/>
          <w:lang w:val="en-US"/>
        </w:rPr>
      </w:pPr>
      <w:r>
        <w:rPr>
          <w:rFonts w:hint="default" w:ascii="Times New Roman" w:hAnsi="宋体" w:eastAsia="宋体" w:cs="宋体"/>
          <w:kern w:val="2"/>
          <w:sz w:val="21"/>
          <w:szCs w:val="22"/>
          <w:lang w:val="en-US" w:eastAsia="zh-CN" w:bidi="ar-SA"/>
        </w:rPr>
        <w:t>2) Приёмное устройство изделия склонно к прилипанию капель воды в условиях повышенной влажности, таких как дождь или снег. Его следует аккуратно протирать мягкой тканью, чтобы не нарушать нормальное функционирование изделия.</w:t>
      </w:r>
    </w:p>
    <w:p w14:paraId="36F84C6E">
      <w:pPr>
        <w:ind w:firstLine="420"/>
        <w:rPr>
          <w:rFonts w:hint="default" w:ascii="宋体" w:hAnsi="宋体" w:cs="仿宋"/>
          <w:lang w:val="en-US"/>
        </w:rPr>
      </w:pPr>
      <w:r>
        <w:rPr>
          <w:rFonts w:hint="default" w:ascii="Times New Roman" w:hAnsi="宋体" w:eastAsia="宋体" w:cs="仿宋"/>
          <w:kern w:val="2"/>
          <w:sz w:val="21"/>
          <w:szCs w:val="22"/>
          <w:lang w:val="en-US" w:eastAsia="zh-CN" w:bidi="ar-SA"/>
        </w:rPr>
        <w:t>3) В условиях тумана с высокой запылённостью необходимо аккуратно удалять пыль, прилипшую к зеркальным поверхностям приёмного и передающего устройств, с помощью влажной мягкой хлопчатобумажной ткани, чтобы предотвратить нарушение нормального функционирования изделия.</w:t>
      </w:r>
      <w:bookmarkStart w:id="18" w:name="_Toc422909519"/>
      <w:bookmarkStart w:id="19" w:name="_Toc422918618"/>
      <w:r>
        <w:rPr>
          <w:rFonts w:hint="default" w:ascii="Times New Roman" w:hAnsi="宋体" w:eastAsia="宋体" w:cs="仿宋"/>
          <w:kern w:val="2"/>
          <w:sz w:val="21"/>
          <w:szCs w:val="22"/>
          <w:lang w:val="en-US" w:eastAsia="zh-CN" w:bidi="ar-SA"/>
        </w:rPr>
        <w:t/>
      </w:r>
      <w:bookmarkEnd w:id="18"/>
      <w:bookmarkEnd w:id="19"/>
      <w:r>
        <w:rPr>
          <w:rFonts w:hint="default" w:ascii="Times New Roman" w:hAnsi="宋体" w:eastAsia="宋体" w:cs="仿宋"/>
          <w:kern w:val="2"/>
          <w:sz w:val="21"/>
          <w:szCs w:val="22"/>
          <w:lang w:val="en-US" w:eastAsia="zh-CN" w:bidi="ar-SA"/>
        </w:rPr>
        <w:t/>
      </w:r>
    </w:p>
    <w:p w14:paraId="1D8EF1AC">
      <w:pPr>
        <w:pStyle w:val="2"/>
        <w:rPr>
          <w:rFonts w:hint="default"/>
          <w:lang w:val="en-US"/>
        </w:rPr>
      </w:pPr>
      <w:bookmarkStart w:id="20" w:name="_Toc90392201"/>
      <w:bookmarkStart w:id="21" w:name="_Toc90393099"/>
      <w:r>
        <w:rPr>
          <w:rFonts w:hint="default" w:ascii="Times New Roman" w:hAnsi="Calibri" w:eastAsia="宋体" w:cs="Times New Roman"/>
          <w:b/>
          <w:bCs/>
          <w:kern w:val="44"/>
          <w:sz w:val="44"/>
          <w:szCs w:val="44"/>
          <w:lang w:val="en-US" w:eastAsia="zh-CN" w:bidi="ar-SA"/>
        </w:rPr>
        <w:t>II. Описание изделия</w:t>
      </w:r>
      <w:bookmarkEnd w:id="20"/>
      <w:bookmarkEnd w:id="21"/>
    </w:p>
    <w:p w14:paraId="3214C270">
      <w:pPr>
        <w:pStyle w:val="4"/>
        <w:spacing w:before="240" w:after="240" w:line="240" w:lineRule="auto"/>
        <w:rPr>
          <w:rStyle w:val="19"/>
          <w:rFonts w:hint="default" w:ascii="宋体" w:hAnsi="宋体"/>
          <w:b/>
          <w:bCs/>
          <w:lang w:val="en-US"/>
        </w:rPr>
      </w:pPr>
      <w:bookmarkStart w:id="22" w:name="_Toc90393100"/>
      <w:r>
        <w:rPr>
          <w:rFonts w:hint="default" w:ascii="Times New Roman" w:hAnsi="宋体" w:eastAsia="宋体" w:cs="Times New Roman"/>
          <w:b/>
          <w:bCs/>
          <w:kern w:val="2"/>
          <w:sz w:val="32"/>
          <w:szCs w:val="32"/>
          <w:lang w:val="en-US" w:eastAsia="zh-CN" w:bidi="ar-SA"/>
        </w:rPr>
        <w:t>2.1 Обзор изделия</w:t>
      </w:r>
      <w:bookmarkEnd w:id="22"/>
    </w:p>
    <w:p w14:paraId="05B86A3B">
      <w:pPr>
        <w:pStyle w:val="14"/>
        <w:spacing w:before="0" w:beforeAutospacing="0" w:after="0" w:afterAutospacing="0"/>
        <w:rPr>
          <w:rFonts w:hint="default" w:cs="仿宋"/>
          <w:sz w:val="21"/>
          <w:szCs w:val="21"/>
          <w:lang w:val="en-US"/>
        </w:rPr>
      </w:pPr>
      <w:r>
        <w:rPr>
          <w:rFonts w:hint="default" w:ascii="Times New Roman" w:hAnsi="宋体" w:eastAsia="宋体" w:cs="宋体"/>
          <w:kern w:val="0"/>
          <w:sz w:val="21"/>
          <w:szCs w:val="21"/>
          <w:lang w:val="en-US" w:eastAsia="zh-CN" w:bidi="ar-SA"/>
        </w:rPr>
        <w:t>Данный прибор, состоящий из лазерного приёмопередающего устройства, приёмного устройства и фиксирующего кронштейна, использует принцип лазерной абсорбционной спектроскопии (TDLAS) для дистанционного онлайн-мониторинга концентрации метана в реальном времени между лазерным приёмопередающим устройством и приёмным устройством. Он также обеспечивает такие функции, как сбор, преобразование и передача сигнала.</w:t>
      </w:r>
    </w:p>
    <w:p w14:paraId="7D64E98E">
      <w:pPr>
        <w:pStyle w:val="4"/>
        <w:spacing w:before="240" w:after="240" w:line="240" w:lineRule="auto"/>
        <w:rPr>
          <w:rStyle w:val="19"/>
          <w:rFonts w:hint="default" w:ascii="宋体" w:hAnsi="宋体"/>
          <w:b/>
          <w:bCs/>
          <w:sz w:val="28"/>
          <w:lang w:val="en-US"/>
        </w:rPr>
      </w:pPr>
      <w:bookmarkStart w:id="23" w:name="_Toc90393101"/>
      <w:r>
        <w:rPr>
          <w:rFonts w:hint="default" w:ascii="Times New Roman" w:hAnsi="宋体" w:eastAsia="宋体" w:cs="Times New Roman"/>
          <w:b/>
          <w:bCs/>
          <w:kern w:val="2"/>
          <w:sz w:val="28"/>
          <w:szCs w:val="32"/>
          <w:lang w:val="en-US" w:eastAsia="zh-CN" w:bidi="ar-SA"/>
        </w:rPr>
        <w:t>2.1.1 Принцип обнаружения</w:t>
      </w:r>
      <w:bookmarkEnd w:id="23"/>
    </w:p>
    <w:p w14:paraId="3B5A5EA7">
      <w:pPr>
        <w:pStyle w:val="14"/>
        <w:spacing w:before="0" w:beforeAutospacing="0" w:after="0" w:afterAutospacing="0"/>
        <w:rPr>
          <w:rFonts w:hint="default"/>
          <w:sz w:val="21"/>
          <w:szCs w:val="21"/>
          <w:lang w:val="en-US"/>
        </w:rPr>
      </w:pPr>
      <w:r>
        <w:rPr>
          <w:rFonts w:hint="default" w:ascii="Times New Roman" w:hAnsi="宋体" w:eastAsia="宋体" w:cs="宋体"/>
          <w:kern w:val="0"/>
          <w:sz w:val="21"/>
          <w:szCs w:val="21"/>
          <w:lang w:val="en-US" w:eastAsia="zh-CN" w:bidi="ar-SA"/>
        </w:rPr>
        <w:t>Принцип измерений в полной мере использует характеристики поглощения метана на определённой длине волны. Когда зондирующий луч встречает молекулы метана, часть луча поглощается ими. Измеряя степень поглощения, можно определить концентрацию метана.</w:t>
      </w:r>
    </w:p>
    <w:p w14:paraId="1F4FF628">
      <w:pPr>
        <w:pStyle w:val="4"/>
        <w:spacing w:before="240" w:after="240" w:line="240" w:lineRule="auto"/>
        <w:rPr>
          <w:rFonts w:hint="default" w:ascii="宋体" w:hAnsi="宋体"/>
          <w:lang w:val="en-US"/>
        </w:rPr>
      </w:pPr>
      <w:bookmarkStart w:id="24" w:name="_Toc422918619"/>
      <w:bookmarkStart w:id="25" w:name="_Toc422909520"/>
      <w:bookmarkStart w:id="26" w:name="_Toc90393102"/>
      <w:r>
        <w:rPr>
          <w:rFonts w:hint="default" w:ascii="Times New Roman" w:hAnsi="宋体" w:eastAsia="宋体" w:cs="Times New Roman"/>
          <w:b/>
          <w:bCs/>
          <w:kern w:val="2"/>
          <w:sz w:val="32"/>
          <w:szCs w:val="32"/>
          <w:lang w:val="en-US" w:eastAsia="zh-CN" w:bidi="ar-SA"/>
        </w:rPr>
        <w:t xml:space="preserve">2.2 Приёмопередающее устройство</w:t>
      </w:r>
      <w:bookmarkEnd w:id="24"/>
      <w:bookmarkEnd w:id="25"/>
      <w:r>
        <w:rPr>
          <w:rFonts w:hint="default" w:ascii="Times New Roman" w:hAnsi="宋体" w:eastAsia="宋体" w:cs="Times New Roman"/>
          <w:b/>
          <w:bCs/>
          <w:kern w:val="2"/>
          <w:sz w:val="32"/>
          <w:szCs w:val="32"/>
          <w:lang w:val="en-US" w:eastAsia="zh-CN" w:bidi="ar-SA"/>
        </w:rPr>
        <w:t/>
      </w:r>
      <w:bookmarkEnd w:id="26"/>
    </w:p>
    <w:p w14:paraId="09C1A124">
      <w:pPr>
        <w:ind w:firstLine="420" w:firstLineChars="200"/>
        <w:rPr>
          <w:rFonts w:hint="default" w:ascii="宋体" w:hAnsi="宋体"/>
          <w:lang w:val="en-US"/>
        </w:rPr>
      </w:pPr>
      <w:r>
        <w:rPr>
          <w:rFonts w:hint="default" w:ascii="Times New Roman" w:hAnsi="宋体" w:eastAsia="宋体" w:cs="Times New Roman"/>
          <w:kern w:val="2"/>
          <w:sz w:val="21"/>
          <w:szCs w:val="22"/>
          <w:lang w:val="en-US" w:eastAsia="zh-CN" w:bidi="ar-SA"/>
        </w:rPr>
        <w:t>Лазерная приёмопередающая система состоит из модуля лазерного излучения, регулируемого монтажного кронштейна и всепогодного корпуса. Модуль лазерного излучения управляет излучением лазера через внутренний приводной механизм. Монтажный кронштейн позволяет регулировать горизонтальный угол и угол наклона приёмопередатчика для обеспечения стабильного излучения лазера на передающее устройство. Корпус из нержавеющей стали обеспечивает надёжную физическую защиту от неблагоприятных погодных условий, эффективно защищая оборудование от теплового излучения и предотвращая нарушения работы, вызванные дождём или снегом.</w:t>
      </w:r>
    </w:p>
    <w:p w14:paraId="4A3BE9C2">
      <w:pPr>
        <w:ind w:firstLine="420" w:firstLineChars="200"/>
        <w:jc w:val="center"/>
        <w:rPr>
          <w:rFonts w:hint="eastAsia" w:ascii="宋体" w:hAnsi="宋体"/>
        </w:rPr>
      </w:pPr>
      <w:r>
        <w:drawing>
          <wp:inline distT="0" distB="0" distL="114300" distR="114300">
            <wp:extent cx="2143760" cy="822960"/>
            <wp:effectExtent l="0" t="0" r="15240" b="15240"/>
            <wp:docPr id="3" name="图片 3"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Y43966{[37KV4UA@ZQ(_Q"/>
                    <pic:cNvPicPr>
                      <a:picLocks noChangeAspect="1"/>
                    </pic:cNvPicPr>
                  </pic:nvPicPr>
                  <pic:blipFill>
                    <a:blip r:embed="rId8"/>
                    <a:srcRect t="40907" b="20334"/>
                    <a:stretch>
                      <a:fillRect/>
                    </a:stretch>
                  </pic:blipFill>
                  <pic:spPr>
                    <a:xfrm>
                      <a:off x="0" y="0"/>
                      <a:ext cx="2143760" cy="822960"/>
                    </a:xfrm>
                    <a:prstGeom prst="rect">
                      <a:avLst/>
                    </a:prstGeom>
                    <a:noFill/>
                    <a:ln>
                      <a:noFill/>
                    </a:ln>
                  </pic:spPr>
                </pic:pic>
              </a:graphicData>
            </a:graphic>
          </wp:inline>
        </w:drawing>
      </w:r>
    </w:p>
    <w:p w14:paraId="783032B6">
      <w:pPr>
        <w:pStyle w:val="4"/>
        <w:spacing w:before="240" w:after="240" w:line="240" w:lineRule="auto"/>
        <w:rPr>
          <w:rFonts w:hint="default" w:ascii="宋体" w:hAnsi="宋体"/>
          <w:lang w:val="en-US"/>
        </w:rPr>
      </w:pPr>
      <w:bookmarkStart w:id="27" w:name="_Toc90393103"/>
      <w:r>
        <w:rPr>
          <w:rFonts w:hint="default" w:ascii="Times New Roman" w:hAnsi="宋体" w:eastAsia="宋体" w:cs="Times New Roman"/>
          <w:b/>
          <w:bCs/>
          <w:kern w:val="2"/>
          <w:sz w:val="32"/>
          <w:szCs w:val="32"/>
          <w:lang w:val="en-US" w:eastAsia="zh-CN" w:bidi="ar-SA"/>
        </w:rPr>
        <w:t>2.3 Приёмное устройство</w:t>
      </w:r>
      <w:bookmarkEnd w:id="27"/>
    </w:p>
    <w:p w14:paraId="5EE3980A">
      <w:pPr>
        <w:ind w:firstLine="420" w:firstLineChars="200"/>
        <w:rPr>
          <w:rFonts w:hint="default" w:ascii="宋体" w:hAnsi="宋体" w:cs="仿宋"/>
          <w:lang w:val="en-US"/>
        </w:rPr>
      </w:pPr>
      <w:r>
        <w:rPr>
          <w:rFonts w:hint="default" w:ascii="Times New Roman" w:hAnsi="宋体" w:eastAsia="宋体" w:cs="Times New Roman"/>
          <w:kern w:val="2"/>
          <w:sz w:val="21"/>
          <w:szCs w:val="22"/>
          <w:lang w:val="en-US" w:eastAsia="zh-CN" w:bidi="ar-SA"/>
        </w:rPr>
        <w:t>Лазерная приёмная система состоит из модуля лазерного приёмника, монтажного кронштейна и всепогодного корпуса. Модуль лазерного приёмника улавливает лазерные сигналы с помощью специализированных приёмников, а высокоточные оптические компоненты выполняют фотоэлектрическое преобразование. Обработанные сигналы проходят инверсию концентрации, после чего передаются по кабелям данных. Регулируемый монтажный кронштейн обеспечивает точное совмещение приёмопередающих блоков путём регулировки горизонтального угла и угла наклона. Всепогодный корпус из нержавеющей стали обеспечивает надёжную физическую защиту от неблагоприятных условий, эффективно защищая оборудование от теплового излучения и предотвращая нарушения работы, вызванные дождём или снегом.</w:t>
      </w:r>
    </w:p>
    <w:p w14:paraId="372529A3">
      <w:pPr>
        <w:ind w:firstLine="420" w:firstLineChars="200"/>
        <w:jc w:val="center"/>
        <w:rPr>
          <w:rFonts w:hint="eastAsia" w:ascii="宋体" w:hAnsi="宋体" w:cs="仿宋"/>
        </w:rPr>
      </w:pPr>
      <w:r>
        <w:drawing>
          <wp:inline distT="0" distB="0" distL="114300" distR="114300">
            <wp:extent cx="2143760" cy="822960"/>
            <wp:effectExtent l="0" t="0" r="15240" b="15240"/>
            <wp:docPr id="4" name="图片 24"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descr="BEY43966{[37KV4UA@ZQ(_Q"/>
                    <pic:cNvPicPr>
                      <a:picLocks noChangeAspect="1"/>
                    </pic:cNvPicPr>
                  </pic:nvPicPr>
                  <pic:blipFill>
                    <a:blip r:embed="rId8"/>
                    <a:srcRect t="40907" b="20334"/>
                    <a:stretch>
                      <a:fillRect/>
                    </a:stretch>
                  </pic:blipFill>
                  <pic:spPr>
                    <a:xfrm>
                      <a:off x="0" y="0"/>
                      <a:ext cx="2143760" cy="822960"/>
                    </a:xfrm>
                    <a:prstGeom prst="rect">
                      <a:avLst/>
                    </a:prstGeom>
                    <a:noFill/>
                    <a:ln>
                      <a:noFill/>
                    </a:ln>
                  </pic:spPr>
                </pic:pic>
              </a:graphicData>
            </a:graphic>
          </wp:inline>
        </w:drawing>
      </w:r>
    </w:p>
    <w:p w14:paraId="4C9941F6">
      <w:pPr>
        <w:pStyle w:val="2"/>
        <w:spacing w:before="240" w:after="240" w:line="240" w:lineRule="auto"/>
        <w:jc w:val="left"/>
        <w:rPr>
          <w:rFonts w:hint="default" w:ascii="宋体" w:hAnsi="宋体"/>
          <w:lang w:val="en-US"/>
        </w:rPr>
      </w:pPr>
      <w:bookmarkStart w:id="28" w:name="_Toc90393104"/>
      <w:bookmarkStart w:id="29" w:name="_Toc90392202"/>
      <w:r>
        <w:rPr>
          <w:rFonts w:hint="default" w:ascii="Times New Roman" w:hAnsi="宋体" w:eastAsia="宋体" w:cs="Times New Roman"/>
          <w:b/>
          <w:bCs/>
          <w:kern w:val="44"/>
          <w:sz w:val="44"/>
          <w:szCs w:val="44"/>
          <w:lang w:val="en-US" w:eastAsia="zh-CN" w:bidi="ar-SA"/>
        </w:rPr>
        <w:t>III. Порядок эксплуатации</w:t>
      </w:r>
      <w:bookmarkStart w:id="30" w:name="_Toc422909525"/>
      <w:r>
        <w:rPr>
          <w:rFonts w:hint="default" w:ascii="Times New Roman" w:hAnsi="宋体" w:eastAsia="宋体" w:cs="Times New Roman"/>
          <w:b/>
          <w:bCs/>
          <w:kern w:val="44"/>
          <w:sz w:val="44"/>
          <w:szCs w:val="44"/>
          <w:lang w:val="en-US" w:eastAsia="zh-CN" w:bidi="ar-SA"/>
        </w:rPr>
        <w:t/>
      </w:r>
      <w:bookmarkEnd w:id="30"/>
      <w:r>
        <w:rPr>
          <w:rFonts w:hint="default" w:ascii="Times New Roman" w:hAnsi="宋体" w:eastAsia="宋体" w:cs="Times New Roman"/>
          <w:b/>
          <w:bCs/>
          <w:kern w:val="44"/>
          <w:sz w:val="44"/>
          <w:szCs w:val="44"/>
          <w:lang w:val="en-US" w:eastAsia="zh-CN" w:bidi="ar-SA"/>
        </w:rPr>
        <w:t/>
      </w:r>
      <w:bookmarkEnd w:id="28"/>
      <w:bookmarkEnd w:id="29"/>
    </w:p>
    <w:p w14:paraId="56F35908">
      <w:pPr>
        <w:pStyle w:val="4"/>
        <w:spacing w:before="240" w:after="240" w:line="240" w:lineRule="auto"/>
        <w:rPr>
          <w:rFonts w:hint="default" w:ascii="宋体" w:hAnsi="宋体"/>
          <w:bCs w:val="0"/>
          <w:lang w:val="en-US"/>
        </w:rPr>
      </w:pPr>
      <w:bookmarkStart w:id="31" w:name="_Toc90393105"/>
      <w:r>
        <w:rPr>
          <w:rFonts w:hint="default" w:ascii="Times New Roman" w:hAnsi="宋体" w:eastAsia="宋体" w:cs="Times New Roman"/>
          <w:b/>
          <w:bCs w:val="0"/>
          <w:kern w:val="2"/>
          <w:sz w:val="32"/>
          <w:szCs w:val="32"/>
          <w:lang w:val="en-US" w:eastAsia="zh-CN" w:bidi="ar-SA"/>
        </w:rPr>
        <w:t>3.1 Проверка оборудования</w:t>
      </w:r>
      <w:bookmarkEnd w:id="31"/>
    </w:p>
    <w:p w14:paraId="388F295E">
      <w:pPr>
        <w:ind w:firstLine="525" w:firstLineChars="250"/>
        <w:rPr>
          <w:rFonts w:hint="default" w:ascii="宋体" w:hAnsi="宋体" w:cs="宋体"/>
          <w:lang w:val="en-US"/>
        </w:rPr>
      </w:pPr>
      <w:r>
        <w:rPr>
          <w:rFonts w:hint="default" w:ascii="Times New Roman" w:hAnsi="宋体" w:eastAsia="宋体" w:cs="宋体"/>
          <w:kern w:val="2"/>
          <w:sz w:val="21"/>
          <w:szCs w:val="22"/>
          <w:lang w:val="en-US" w:eastAsia="zh-CN" w:bidi="ar-SA"/>
        </w:rPr>
        <w:t>1) Проверьте целостность оборудования, а также правильность подключения и исправность всех кабелей данных;</w:t>
      </w:r>
    </w:p>
    <w:p w14:paraId="71D7466E">
      <w:pPr>
        <w:ind w:firstLine="525" w:firstLineChars="250"/>
        <w:rPr>
          <w:rFonts w:hint="default" w:ascii="宋体" w:hAnsi="宋体" w:cs="宋体"/>
          <w:lang w:val="en-US"/>
        </w:rPr>
      </w:pPr>
      <w:r>
        <w:rPr>
          <w:rFonts w:hint="default" w:ascii="Times New Roman" w:hAnsi="宋体" w:eastAsia="宋体" w:cs="宋体"/>
          <w:kern w:val="2"/>
          <w:sz w:val="21"/>
          <w:szCs w:val="22"/>
          <w:lang w:val="en-US" w:eastAsia="zh-CN" w:bidi="ar-SA"/>
        </w:rPr>
        <w:t>2) Убедитесь, что приёмное зеркало чистое, и регулярно протирайте его мягкой сухой тканью.</w:t>
      </w:r>
    </w:p>
    <w:p w14:paraId="0A8CC95C">
      <w:pPr>
        <w:pStyle w:val="4"/>
        <w:spacing w:before="240" w:after="240" w:line="240" w:lineRule="auto"/>
        <w:rPr>
          <w:rFonts w:hint="default" w:ascii="宋体" w:hAnsi="宋体"/>
          <w:bCs w:val="0"/>
          <w:lang w:val="en-US"/>
        </w:rPr>
      </w:pPr>
      <w:bookmarkStart w:id="32" w:name="_Toc90393106"/>
      <w:r>
        <w:rPr>
          <w:rFonts w:hint="default" w:ascii="Times New Roman" w:hAnsi="宋体" w:eastAsia="宋体" w:cs="Times New Roman"/>
          <w:b/>
          <w:bCs w:val="0"/>
          <w:kern w:val="2"/>
          <w:sz w:val="32"/>
          <w:szCs w:val="32"/>
          <w:lang w:val="en-US" w:eastAsia="zh-CN" w:bidi="ar-SA"/>
        </w:rPr>
        <w:t>3.2 Эксплуатация оборудования</w:t>
      </w:r>
      <w:bookmarkEnd w:id="32"/>
    </w:p>
    <w:p w14:paraId="70CA2E1E">
      <w:pPr>
        <w:ind w:firstLine="420" w:firstLineChars="200"/>
        <w:rPr>
          <w:rFonts w:hint="default" w:ascii="宋体" w:hAnsi="宋体" w:cs="仿宋"/>
          <w:lang w:val="en-US"/>
        </w:rPr>
      </w:pPr>
      <w:r>
        <w:rPr>
          <w:rFonts w:hint="default" w:ascii="Times New Roman" w:hAnsi="宋体" w:eastAsia="宋体" w:cs="仿宋"/>
          <w:kern w:val="2"/>
          <w:sz w:val="21"/>
          <w:szCs w:val="22"/>
          <w:lang w:val="en-US" w:eastAsia="zh-CN" w:bidi="ar-SA"/>
        </w:rPr>
        <w:t>1) После выполнения вышеуказанной проверки включите и запустите устройство;</w:t>
      </w:r>
    </w:p>
    <w:p w14:paraId="01D0CB87">
      <w:pPr>
        <w:ind w:firstLine="420" w:firstLineChars="200"/>
        <w:rPr>
          <w:rFonts w:hint="default" w:ascii="宋体" w:hAnsi="宋体" w:cs="仿宋"/>
          <w:lang w:val="en-US"/>
        </w:rPr>
      </w:pPr>
      <w:r>
        <w:rPr>
          <w:rFonts w:hint="default" w:ascii="Times New Roman" w:hAnsi="宋体" w:eastAsia="宋体" w:cs="仿宋"/>
          <w:kern w:val="2"/>
          <w:sz w:val="21"/>
          <w:szCs w:val="22"/>
          <w:lang w:val="en-US" w:eastAsia="zh-CN" w:bidi="ar-SA"/>
        </w:rPr>
        <w:t>2) Способ электропитания: устройство поддерживает питание постоянным током 24 В. Штатный кабель питания данного устройства можно подключить к местному источнику постоянного тока 24 В для питания устройства. При отсутствии на объекте питания постоянным током 24 В можно использовать преобразователь переменного тока в постоянный 24 В для получения стабильного постоянного тока 24 В для питания устройства.</w:t>
      </w:r>
    </w:p>
    <w:p w14:paraId="0AEB2985">
      <w:pPr>
        <w:pStyle w:val="2"/>
        <w:spacing w:before="240" w:after="240" w:line="240" w:lineRule="auto"/>
        <w:jc w:val="left"/>
        <w:rPr>
          <w:rFonts w:hint="default" w:ascii="宋体" w:hAnsi="宋体"/>
          <w:lang w:val="en-US"/>
        </w:rPr>
      </w:pPr>
      <w:bookmarkStart w:id="33" w:name="_Toc90392203"/>
      <w:bookmarkStart w:id="34" w:name="_Toc90393107"/>
      <w:r>
        <w:rPr>
          <w:rFonts w:hint="default" w:ascii="Times New Roman" w:hAnsi="宋体" w:eastAsia="宋体" w:cs="Times New Roman"/>
          <w:b/>
          <w:bCs/>
          <w:kern w:val="44"/>
          <w:sz w:val="44"/>
          <w:szCs w:val="44"/>
          <w:lang w:val="en-US" w:eastAsia="zh-CN" w:bidi="ar-SA"/>
        </w:rPr>
        <w:t>IV. Порядок монтажа</w:t>
      </w:r>
      <w:bookmarkEnd w:id="33"/>
      <w:bookmarkEnd w:id="34"/>
    </w:p>
    <w:p w14:paraId="579E4412">
      <w:pPr>
        <w:pStyle w:val="4"/>
        <w:spacing w:before="240" w:after="240" w:line="240" w:lineRule="auto"/>
        <w:rPr>
          <w:rFonts w:hint="default" w:ascii="宋体" w:hAnsi="宋体"/>
          <w:bCs w:val="0"/>
          <w:lang w:val="en-US"/>
        </w:rPr>
      </w:pPr>
      <w:bookmarkStart w:id="35" w:name="_Toc90393108"/>
      <w:r>
        <w:rPr>
          <w:rFonts w:hint="default" w:ascii="Times New Roman" w:hAnsi="宋体" w:eastAsia="宋体" w:cs="Times New Roman"/>
          <w:b/>
          <w:bCs w:val="0"/>
          <w:kern w:val="2"/>
          <w:sz w:val="32"/>
          <w:szCs w:val="32"/>
          <w:lang w:val="en-US" w:eastAsia="zh-CN" w:bidi="ar-SA"/>
        </w:rPr>
        <w:t>4.1 Требования к условиям монтажа</w:t>
      </w:r>
      <w:bookmarkEnd w:id="35"/>
    </w:p>
    <w:p w14:paraId="6B7CAEB8">
      <w:pPr>
        <w:rPr>
          <w:rFonts w:hint="default" w:cs="仿宋"/>
          <w:sz w:val="28"/>
          <w:szCs w:val="28"/>
          <w:lang w:val="en-US"/>
        </w:rPr>
      </w:pPr>
      <w:r>
        <w:rPr>
          <w:rFonts w:hint="default" w:ascii="Times New Roman" w:hAnsi="Calibri" w:eastAsia="宋体" w:cs="Times New Roman"/>
          <w:kern w:val="2"/>
          <w:sz w:val="21"/>
          <w:szCs w:val="22"/>
          <w:lang w:val="en-US" w:eastAsia="zh-CN" w:bidi="ar-SA"/>
        </w:rPr>
        <w:t>Монтаж данного устройства требует использования видимого зелёного света для юстировки оптического пути между передатчиком и приёмником. В условиях интенсивного солнечного света видимый зелёный свет трудно различить. Поэтому монтаж данного устройства рекомендуется выполнять в условиях ослабленного солнечного света (в пасмурные дни или в вечернее время).</w:t>
      </w:r>
    </w:p>
    <w:p w14:paraId="537B3ACC">
      <w:pPr>
        <w:pStyle w:val="4"/>
        <w:spacing w:before="240" w:after="240" w:line="240" w:lineRule="auto"/>
        <w:rPr>
          <w:rFonts w:hint="default" w:ascii="宋体" w:hAnsi="宋体"/>
          <w:bCs w:val="0"/>
          <w:lang w:val="en-US"/>
        </w:rPr>
      </w:pPr>
      <w:bookmarkStart w:id="36" w:name="_Toc90393109"/>
      <w:r>
        <w:rPr>
          <w:rFonts w:hint="default" w:ascii="Times New Roman" w:hAnsi="宋体" w:eastAsia="宋体" w:cs="Times New Roman"/>
          <w:b/>
          <w:bCs w:val="0"/>
          <w:kern w:val="2"/>
          <w:sz w:val="32"/>
          <w:szCs w:val="32"/>
          <w:lang w:val="en-US" w:eastAsia="zh-CN" w:bidi="ar-SA"/>
        </w:rPr>
        <w:t>4.2 Требования к месту монтажа</w:t>
      </w:r>
      <w:bookmarkEnd w:id="36"/>
    </w:p>
    <w:p w14:paraId="1A4A8717">
      <w:pPr>
        <w:rPr>
          <w:rFonts w:hint="default"/>
          <w:lang w:val="en-US"/>
        </w:rPr>
      </w:pPr>
      <w:r>
        <w:rPr>
          <w:rFonts w:hint="default" w:ascii="Times New Roman" w:hAnsi="Calibri" w:eastAsia="宋体" w:cs="Times New Roman"/>
          <w:kern w:val="2"/>
          <w:sz w:val="21"/>
          <w:szCs w:val="22"/>
          <w:lang w:val="en-US" w:eastAsia="zh-CN" w:bidi="ar-SA"/>
        </w:rPr>
        <w:t>Данное устройство предназначено в первую очередь для мониторинга концентрации газа в больших открытых пространствах, таких как протяжённые трубопроводы, газораспределительные пункты и колодцы с запорной арматурой. Обычно оно устанавливается в местах расположения трубопроводной арматуры или над группами колодцев с запорной арматурой. При наружном монтаже следует предусмотреть самодельные опорные стойки или учесть условия на объекте; при монтаже в помещении требуются изготовленные по заказу монтажные основания или анкерные болты. Монтаж следует выполнять вдали от зон со значительной вибрацией или скоплением пыли, при этом дальность обнаружения не должна превышать 120 метров.</w:t>
      </w:r>
    </w:p>
    <w:p w14:paraId="73794F8C">
      <w:pPr>
        <w:pStyle w:val="4"/>
        <w:spacing w:before="240" w:after="240" w:line="240" w:lineRule="auto"/>
        <w:rPr>
          <w:rFonts w:hint="default" w:ascii="宋体" w:hAnsi="宋体"/>
          <w:bCs w:val="0"/>
          <w:lang w:val="en-US"/>
        </w:rPr>
      </w:pPr>
      <w:bookmarkStart w:id="37" w:name="_Toc90393110"/>
      <w:r>
        <w:rPr>
          <w:rFonts w:hint="default" w:ascii="Times New Roman" w:hAnsi="宋体" w:eastAsia="宋体" w:cs="Times New Roman"/>
          <w:b/>
          <w:bCs w:val="0"/>
          <w:kern w:val="2"/>
          <w:sz w:val="32"/>
          <w:szCs w:val="32"/>
          <w:lang w:val="en-US" w:eastAsia="zh-CN" w:bidi="ar-SA"/>
        </w:rPr>
        <w:t>4.3 Монтажные размеры и требования</w:t>
      </w:r>
      <w:bookmarkEnd w:id="37"/>
    </w:p>
    <w:p w14:paraId="3CBB9C3F">
      <w:pPr>
        <w:pStyle w:val="4"/>
        <w:spacing w:before="240" w:after="240" w:line="240" w:lineRule="auto"/>
        <w:rPr>
          <w:rFonts w:hint="default"/>
          <w:lang w:val="en-US"/>
        </w:rPr>
      </w:pPr>
      <w:bookmarkStart w:id="38" w:name="_Toc90393111"/>
      <w:r>
        <w:rPr>
          <w:rFonts w:hint="default" w:ascii="Times New Roman" w:hAnsi="宋体" w:eastAsia="宋体" w:cs="Times New Roman"/>
          <w:b/>
          <w:bCs/>
          <w:kern w:val="2"/>
          <w:sz w:val="28"/>
          <w:szCs w:val="32"/>
          <w:lang w:val="en-US" w:eastAsia="zh-CN" w:bidi="ar-SA"/>
        </w:rPr>
        <w:t>4.3.1 Схема внешнего вида и монтажных размеров</w:t>
      </w:r>
      <w:bookmarkEnd w:id="38"/>
    </w:p>
    <w:p w14:paraId="12519C24">
      <w:r>
        <w:drawing>
          <wp:inline distT="0" distB="0" distL="114300" distR="114300">
            <wp:extent cx="4530725" cy="1418590"/>
            <wp:effectExtent l="0" t="0" r="15875"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rcRect t="4488" b="2658"/>
                    <a:stretch>
                      <a:fillRect/>
                    </a:stretch>
                  </pic:blipFill>
                  <pic:spPr>
                    <a:xfrm>
                      <a:off x="0" y="0"/>
                      <a:ext cx="4530725" cy="1418590"/>
                    </a:xfrm>
                    <a:prstGeom prst="rect">
                      <a:avLst/>
                    </a:prstGeom>
                    <a:noFill/>
                    <a:ln>
                      <a:noFill/>
                    </a:ln>
                  </pic:spPr>
                </pic:pic>
              </a:graphicData>
            </a:graphic>
          </wp:inline>
        </w:drawing>
      </w:r>
    </w:p>
    <w:p w14:paraId="264D1F83">
      <w:pPr>
        <w:pStyle w:val="4"/>
        <w:spacing w:before="240" w:after="240" w:line="240" w:lineRule="auto"/>
        <w:rPr>
          <w:rFonts w:hint="default" w:ascii="宋体" w:hAnsi="宋体"/>
          <w:sz w:val="28"/>
          <w:lang w:val="en-US"/>
        </w:rPr>
      </w:pPr>
      <w:bookmarkStart w:id="39" w:name="_Toc90393112"/>
      <w:r>
        <w:rPr>
          <w:rFonts w:hint="default" w:ascii="Times New Roman" w:hAnsi="宋体" w:eastAsia="宋体" w:cs="Times New Roman"/>
          <w:b/>
          <w:bCs/>
          <w:kern w:val="2"/>
          <w:sz w:val="28"/>
          <w:szCs w:val="32"/>
          <w:lang w:val="en-US" w:eastAsia="zh-CN" w:bidi="ar-SA"/>
        </w:rPr>
        <w:t>4.3.2 Требования к монтажу</w:t>
      </w:r>
      <w:bookmarkEnd w:id="39"/>
    </w:p>
    <w:p w14:paraId="4FBA422A">
      <w:pPr>
        <w:rPr>
          <w:rFonts w:hint="default"/>
          <w:lang w:val="en-US"/>
        </w:rPr>
      </w:pPr>
      <w:r>
        <w:rPr>
          <w:rFonts w:hint="default" w:ascii="Times New Roman" w:hAnsi="Calibri" w:eastAsia="宋体" w:cs="Times New Roman"/>
          <w:kern w:val="2"/>
          <w:sz w:val="21"/>
          <w:szCs w:val="22"/>
          <w:lang w:val="en-US" w:eastAsia="zh-CN" w:bidi="ar-SA"/>
        </w:rPr>
        <w:t>В зависимости от условий на объекте данное устройство можно устанавливать на вертикальные стойки из металлических труб или на ровные стены.</w:t>
      </w:r>
    </w:p>
    <w:p w14:paraId="772AB58F">
      <w:pPr>
        <w:rPr>
          <w:rFonts w:hint="default"/>
          <w:lang w:val="en-US"/>
        </w:rPr>
      </w:pPr>
      <w:r>
        <w:rPr>
          <w:rFonts w:ascii="Times New Roman" w:hAnsi="Calibri" w:eastAsia="宋体" w:cs="Times New Roman"/>
          <w:kern w:val="2"/>
          <w:sz w:val="21"/>
          <w:szCs w:val="22"/>
          <w:lang w:val="en-US" w:eastAsia="zh-CN" w:bidi="ar-SA"/>
        </w:rPr>
        <w:t>Способ монтажа на стену:</w:t>
      </w:r>
    </w:p>
    <w:p w14:paraId="33356754">
      <w:pPr>
        <w:jc w:val="center"/>
      </w:pPr>
      <w:r>
        <w:rPr>
          <w:rFonts w:hint="eastAsia"/>
        </w:rPr>
        <w:drawing>
          <wp:inline distT="0" distB="0" distL="114300" distR="114300">
            <wp:extent cx="2592070" cy="4224655"/>
            <wp:effectExtent l="0" t="0" r="24130"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2592070" cy="4224655"/>
                    </a:xfrm>
                    <a:prstGeom prst="rect">
                      <a:avLst/>
                    </a:prstGeom>
                    <a:noFill/>
                    <a:ln>
                      <a:noFill/>
                    </a:ln>
                  </pic:spPr>
                </pic:pic>
              </a:graphicData>
            </a:graphic>
          </wp:inline>
        </w:drawing>
      </w:r>
    </w:p>
    <w:p w14:paraId="1A188A69">
      <w:pPr>
        <w:rPr>
          <w:rFonts w:hint="default"/>
          <w:lang w:val="en-US"/>
        </w:rPr>
      </w:pPr>
      <w:r>
        <w:rPr>
          <w:rFonts w:hint="default" w:ascii="Times New Roman" w:hAnsi="Calibri" w:eastAsia="宋体" w:cs="Times New Roman"/>
          <w:kern w:val="2"/>
          <w:sz w:val="21"/>
          <w:szCs w:val="22"/>
          <w:lang w:val="en-US" w:eastAsia="zh-CN" w:bidi="ar-SA"/>
        </w:rPr>
        <w:t>Кронштейн для монтажа на стену:</w:t>
      </w:r>
    </w:p>
    <w:p w14:paraId="1738D124">
      <w:pPr>
        <w:jc w:val="center"/>
        <w:rPr>
          <w:rFonts w:hint="eastAsia"/>
        </w:rPr>
      </w:pPr>
      <w:r>
        <w:drawing>
          <wp:inline distT="0" distB="0" distL="114300" distR="114300">
            <wp:extent cx="4124325" cy="2707005"/>
            <wp:effectExtent l="0" t="0" r="15875" b="10795"/>
            <wp:docPr id="7" name="图片 7" descr="CEG{[EC1RLXFJE7F39F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EG{[EC1RLXFJE7F39FO`%3"/>
                    <pic:cNvPicPr>
                      <a:picLocks noChangeAspect="1"/>
                    </pic:cNvPicPr>
                  </pic:nvPicPr>
                  <pic:blipFill>
                    <a:blip r:embed="rId12"/>
                    <a:stretch>
                      <a:fillRect/>
                    </a:stretch>
                  </pic:blipFill>
                  <pic:spPr>
                    <a:xfrm>
                      <a:off x="0" y="0"/>
                      <a:ext cx="4124325" cy="2707005"/>
                    </a:xfrm>
                    <a:prstGeom prst="rect">
                      <a:avLst/>
                    </a:prstGeom>
                    <a:noFill/>
                    <a:ln>
                      <a:noFill/>
                    </a:ln>
                  </pic:spPr>
                </pic:pic>
              </a:graphicData>
            </a:graphic>
          </wp:inline>
        </w:drawing>
      </w:r>
    </w:p>
    <w:p w14:paraId="18A1F6AE">
      <w:pPr>
        <w:rPr>
          <w:rFonts w:hint="default"/>
          <w:lang w:val="en-US"/>
        </w:rPr>
      </w:pPr>
      <w:r>
        <w:rPr>
          <w:rFonts w:hint="default" w:ascii="Times New Roman" w:hAnsi="Calibri" w:eastAsia="宋体" w:cs="Times New Roman"/>
          <w:kern w:val="2"/>
          <w:sz w:val="21"/>
          <w:szCs w:val="22"/>
          <w:lang w:val="en-US" w:eastAsia="zh-CN" w:bidi="ar-SA"/>
        </w:rPr>
        <w:t>Способ монтажа на стойку:</w:t>
      </w:r>
    </w:p>
    <w:p w14:paraId="20120969">
      <w:pPr>
        <w:jc w:val="center"/>
        <w:rPr>
          <w:rFonts w:hint="eastAsia"/>
        </w:rPr>
      </w:pPr>
      <w:r>
        <w:rPr>
          <w:rFonts w:hint="eastAsia"/>
        </w:rPr>
        <w:drawing>
          <wp:inline distT="0" distB="0" distL="114300" distR="114300">
            <wp:extent cx="2577465" cy="4352925"/>
            <wp:effectExtent l="0" t="0" r="13335" b="158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2577465" cy="4352925"/>
                    </a:xfrm>
                    <a:prstGeom prst="rect">
                      <a:avLst/>
                    </a:prstGeom>
                    <a:noFill/>
                    <a:ln>
                      <a:noFill/>
                    </a:ln>
                  </pic:spPr>
                </pic:pic>
              </a:graphicData>
            </a:graphic>
          </wp:inline>
        </w:drawing>
      </w:r>
    </w:p>
    <w:p w14:paraId="250F997C">
      <w:pPr>
        <w:pStyle w:val="4"/>
        <w:spacing w:before="240" w:after="240" w:line="240" w:lineRule="auto"/>
        <w:rPr>
          <w:rFonts w:hint="default" w:ascii="宋体" w:hAnsi="宋体"/>
          <w:bCs w:val="0"/>
          <w:lang w:val="en-US"/>
        </w:rPr>
      </w:pPr>
      <w:bookmarkStart w:id="40" w:name="_Toc90393113"/>
      <w:r>
        <w:rPr>
          <w:rFonts w:hint="default" w:ascii="Times New Roman" w:hAnsi="宋体" w:eastAsia="宋体" w:cs="Times New Roman"/>
          <w:b/>
          <w:bCs w:val="0"/>
          <w:kern w:val="2"/>
          <w:sz w:val="32"/>
          <w:szCs w:val="32"/>
          <w:lang w:val="en-US" w:eastAsia="zh-CN" w:bidi="ar-SA"/>
        </w:rPr>
        <w:t>4.4 Порядок монтажа и методы проверки</w:t>
      </w:r>
      <w:bookmarkEnd w:id="40"/>
    </w:p>
    <w:p w14:paraId="7FC6A1F0">
      <w:pPr>
        <w:rPr>
          <w:rFonts w:hint="default"/>
          <w:lang w:val="en-US"/>
        </w:rPr>
      </w:pPr>
      <w:r>
        <w:rPr>
          <w:rFonts w:hint="default" w:ascii="Times New Roman" w:hAnsi="Calibri" w:eastAsia="宋体" w:cs="Times New Roman"/>
          <w:kern w:val="2"/>
          <w:sz w:val="21"/>
          <w:szCs w:val="22"/>
          <w:lang w:val="en-US" w:eastAsia="zh-CN" w:bidi="ar-SA"/>
        </w:rPr>
        <w:t>(1) Подготовка перед монтажом: мультиметр, гаечный ключ, плоскогубцы с косыми губками, салфетка для очистки линз, монтажные болты, шайбы, гайки и т. п.;</w:t>
      </w:r>
    </w:p>
    <w:p w14:paraId="71E7F2BC">
      <w:pPr>
        <w:rPr>
          <w:rFonts w:hint="default"/>
          <w:lang w:val="en-US"/>
        </w:rPr>
      </w:pPr>
      <w:r>
        <w:rPr>
          <w:rFonts w:hint="default" w:ascii="Times New Roman" w:hAnsi="Calibri" w:eastAsia="宋体" w:cs="Times New Roman"/>
          <w:kern w:val="2"/>
          <w:sz w:val="21"/>
          <w:szCs w:val="22"/>
          <w:lang w:val="en-US" w:eastAsia="zh-CN" w:bidi="ar-SA"/>
        </w:rPr>
        <w:t>(2) Этапы монтажа</w:t>
      </w:r>
    </w:p>
    <w:p w14:paraId="7A0ACC4E">
      <w:pPr>
        <w:ind w:firstLine="420"/>
        <w:rPr>
          <w:rFonts w:hint="default"/>
          <w:lang w:val="en-US"/>
        </w:rPr>
      </w:pPr>
      <w:r>
        <w:rPr>
          <w:rFonts w:hint="default" w:ascii="Times New Roman" w:hAnsi="Calibri" w:eastAsia="宋体" w:cs="Times New Roman"/>
          <w:kern w:val="2"/>
          <w:sz w:val="21"/>
          <w:szCs w:val="22"/>
          <w:lang w:val="en-US" w:eastAsia="zh-CN" w:bidi="ar-SA"/>
        </w:rPr>
        <w:t>Подготовка перед монтажом оборудования: проведите обследование на объекте, чтобы определить место и высоту установки передающего и приёмного устройств, и проверьте комплектность зондов.</w:t>
      </w:r>
    </w:p>
    <w:p w14:paraId="790181BA">
      <w:pPr>
        <w:rPr>
          <w:rFonts w:hint="default" w:cs="仿宋"/>
          <w:lang w:val="en-US"/>
        </w:rPr>
      </w:pPr>
      <w:r>
        <w:rPr>
          <w:rFonts w:hint="default" w:ascii="Times New Roman" w:hAnsi="Calibri" w:eastAsia="宋体" w:cs="仿宋"/>
          <w:kern w:val="2"/>
          <w:sz w:val="21"/>
          <w:szCs w:val="22"/>
          <w:lang w:val="en-US" w:eastAsia="zh-CN" w:bidi="ar-SA"/>
        </w:rPr>
        <w:t>2) Монтаж и настройка приёмного и передающего устройств: установите приёмное и передающее устройства на стену согласно чертежам обследования объекта, затяните четыре крепёжные гайки на монтажном основании и направьте зелёный свет с передающего конца на приёмную пластину;</w:t>
      </w:r>
    </w:p>
    <w:p w14:paraId="38B6A977">
      <w:pPr>
        <w:rPr>
          <w:rFonts w:hint="eastAsia"/>
        </w:rPr>
      </w:pPr>
    </w:p>
    <w:p w14:paraId="0308AAC8">
      <w:pPr>
        <w:pStyle w:val="4"/>
        <w:spacing w:before="240" w:after="240" w:line="240" w:lineRule="auto"/>
        <w:rPr>
          <w:rFonts w:hint="default" w:ascii="宋体" w:hAnsi="宋体"/>
          <w:bCs w:val="0"/>
          <w:lang w:val="en-US"/>
        </w:rPr>
      </w:pPr>
      <w:bookmarkStart w:id="41" w:name="_Toc90393114"/>
      <w:r>
        <w:rPr>
          <w:rFonts w:hint="default" w:ascii="Times New Roman" w:hAnsi="宋体" w:eastAsia="宋体" w:cs="Times New Roman"/>
          <w:b/>
          <w:bCs w:val="0"/>
          <w:kern w:val="2"/>
          <w:sz w:val="32"/>
          <w:szCs w:val="32"/>
          <w:lang w:val="en-US" w:eastAsia="zh-CN" w:bidi="ar-SA"/>
        </w:rPr>
        <w:t>4.5 Требования к монтажу интерфейсов и разъёмов</w:t>
      </w:r>
      <w:bookmarkEnd w:id="41"/>
    </w:p>
    <w:p w14:paraId="38EF10C4">
      <w:pPr>
        <w:rPr>
          <w:rFonts w:hint="default"/>
          <w:lang w:val="en-US"/>
        </w:rPr>
      </w:pPr>
      <w:r>
        <w:rPr>
          <w:rFonts w:hint="default" w:ascii="Times New Roman" w:hAnsi="Calibri" w:eastAsia="宋体" w:cs="Times New Roman"/>
          <w:kern w:val="2"/>
          <w:sz w:val="21"/>
          <w:szCs w:val="22"/>
          <w:lang w:val="en-US" w:eastAsia="zh-CN" w:bidi="ar-SA"/>
        </w:rPr>
        <w:t>Кабель питания и сигнальный кабель подключаются к взрывозащищённой соединительной коробке через взрывозащищённые гибкие рукава. Линии электропитания и сигнала 4-20 мА используют рельсовые клеммы быстрого подключения для удобства электромонтажа на объекте. Спецификации интерфейсов приведены в таблице ниже:</w:t>
      </w:r>
    </w:p>
    <w:p w14:paraId="7E9E417B">
      <w:pPr>
        <w:widowControl/>
        <w:jc w:val="center"/>
      </w:pPr>
      <w:r>
        <w:drawing>
          <wp:inline distT="0" distB="0" distL="114300" distR="114300">
            <wp:extent cx="3716020" cy="3724275"/>
            <wp:effectExtent l="0" t="0" r="17780"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4"/>
                    <a:stretch>
                      <a:fillRect/>
                    </a:stretch>
                  </pic:blipFill>
                  <pic:spPr>
                    <a:xfrm>
                      <a:off x="0" y="0"/>
                      <a:ext cx="3716020" cy="3724275"/>
                    </a:xfrm>
                    <a:prstGeom prst="rect">
                      <a:avLst/>
                    </a:prstGeom>
                    <a:noFill/>
                    <a:ln>
                      <a:noFill/>
                    </a:ln>
                  </pic:spPr>
                </pic:pic>
              </a:graphicData>
            </a:graphic>
          </wp:inline>
        </w:drawing>
      </w:r>
    </w:p>
    <w:p w14:paraId="72767EA6">
      <w:pPr>
        <w:widowControl/>
        <w:jc w:val="center"/>
        <w:rPr>
          <w:rFonts w:hint="eastAsia"/>
        </w:rPr>
      </w:pP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2438"/>
      </w:tblGrid>
      <w:tr w14:paraId="5FC64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0214CF57">
            <w:pPr>
              <w:jc w:val="center"/>
              <w:rPr>
                <w:rFonts w:hint="default"/>
                <w:lang w:val="en-US"/>
              </w:rPr>
            </w:pPr>
            <w:bookmarkStart w:id="42" w:name="_Toc90392204"/>
            <w:r>
              <w:rPr>
                <w:rFonts w:hint="default" w:ascii="Times New Roman" w:hAnsi="Calibri" w:eastAsia="宋体" w:cs="Times New Roman"/>
                <w:kern w:val="2"/>
                <w:sz w:val="21"/>
                <w:szCs w:val="22"/>
                <w:lang w:val="en-US" w:eastAsia="zh-CN" w:bidi="ar-SA"/>
              </w:rPr>
              <w:t>порядковый номер</w:t>
            </w:r>
            <w:bookmarkEnd w:id="42"/>
          </w:p>
        </w:tc>
        <w:tc>
          <w:tcPr>
            <w:tcW w:w="2438" w:type="dxa"/>
            <w:noWrap w:val="0"/>
            <w:vAlign w:val="top"/>
          </w:tcPr>
          <w:p w14:paraId="0932B4F1">
            <w:pPr>
              <w:jc w:val="center"/>
              <w:rPr>
                <w:rFonts w:hint="default"/>
                <w:lang w:val="en-US"/>
              </w:rPr>
            </w:pPr>
            <w:bookmarkStart w:id="43" w:name="_Toc90392205"/>
            <w:r>
              <w:rPr>
                <w:rFonts w:hint="default" w:ascii="Times New Roman" w:hAnsi="Calibri" w:eastAsia="宋体" w:cs="Times New Roman"/>
                <w:kern w:val="2"/>
                <w:sz w:val="21"/>
                <w:szCs w:val="22"/>
                <w:lang w:val="en-US" w:eastAsia="zh-CN" w:bidi="ar-SA"/>
              </w:rPr>
              <w:t>Определение интерфейса</w:t>
            </w:r>
            <w:bookmarkEnd w:id="43"/>
          </w:p>
        </w:tc>
      </w:tr>
      <w:tr w14:paraId="00636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078B815F">
            <w:pPr>
              <w:jc w:val="center"/>
              <w:rPr>
                <w:rFonts w:hint="default"/>
                <w:lang w:val="en-US"/>
              </w:rPr>
            </w:pPr>
            <w:bookmarkStart w:id="44" w:name="_Toc90392206"/>
            <w:r>
              <w:rPr>
                <w:rFonts w:ascii="Times New Roman" w:hAnsi="Calibri" w:eastAsia="宋体" w:cs="Times New Roman"/>
                <w:kern w:val="2"/>
                <w:sz w:val="21"/>
                <w:szCs w:val="22"/>
                <w:lang w:val="en-US" w:eastAsia="zh-CN" w:bidi="ar-SA"/>
              </w:rPr>
              <w:t>+</w:t>
            </w:r>
            <w:bookmarkEnd w:id="44"/>
          </w:p>
        </w:tc>
        <w:tc>
          <w:tcPr>
            <w:tcW w:w="2438" w:type="dxa"/>
            <w:noWrap w:val="0"/>
            <w:vAlign w:val="top"/>
          </w:tcPr>
          <w:p w14:paraId="4EA26CFB">
            <w:pPr>
              <w:jc w:val="center"/>
              <w:rPr>
                <w:rFonts w:hint="default"/>
                <w:lang w:val="en-US"/>
              </w:rPr>
            </w:pPr>
            <w:bookmarkStart w:id="45" w:name="_Toc90392207"/>
            <w:r>
              <w:rPr>
                <w:rFonts w:hint="default" w:ascii="Times New Roman" w:hAnsi="Calibri" w:eastAsia="宋体" w:cs="Times New Roman"/>
                <w:kern w:val="2"/>
                <w:sz w:val="21"/>
                <w:szCs w:val="22"/>
                <w:lang w:val="en-US" w:eastAsia="zh-CN" w:bidi="ar-SA"/>
              </w:rPr>
              <w:t>24V+</w:t>
            </w:r>
            <w:bookmarkEnd w:id="45"/>
          </w:p>
        </w:tc>
      </w:tr>
      <w:tr w14:paraId="45B6D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3166607B">
            <w:pPr>
              <w:jc w:val="center"/>
              <w:rPr>
                <w:rFonts w:hint="default"/>
                <w:lang w:val="en-US"/>
              </w:rPr>
            </w:pPr>
            <w:bookmarkStart w:id="46" w:name="_Toc90392208"/>
            <w:r>
              <w:rPr>
                <w:rFonts w:ascii="Times New Roman" w:hAnsi="Calibri" w:eastAsia="宋体" w:cs="Times New Roman"/>
                <w:kern w:val="2"/>
                <w:sz w:val="21"/>
                <w:szCs w:val="22"/>
                <w:lang w:val="en-US" w:eastAsia="zh-CN" w:bidi="ar-SA"/>
              </w:rPr>
              <w:t>-</w:t>
            </w:r>
            <w:bookmarkEnd w:id="46"/>
          </w:p>
        </w:tc>
        <w:tc>
          <w:tcPr>
            <w:tcW w:w="2438" w:type="dxa"/>
            <w:noWrap w:val="0"/>
            <w:vAlign w:val="top"/>
          </w:tcPr>
          <w:p w14:paraId="55D08484">
            <w:pPr>
              <w:jc w:val="center"/>
              <w:rPr>
                <w:rFonts w:hint="default"/>
                <w:lang w:val="en-US"/>
              </w:rPr>
            </w:pPr>
            <w:bookmarkStart w:id="47" w:name="_Toc90392209"/>
            <w:r>
              <w:rPr>
                <w:rFonts w:ascii="Times New Roman" w:hAnsi="Calibri" w:eastAsia="宋体" w:cs="Times New Roman"/>
                <w:kern w:val="2"/>
                <w:sz w:val="21"/>
                <w:szCs w:val="22"/>
                <w:lang w:val="en-US" w:eastAsia="zh-CN" w:bidi="ar-SA"/>
              </w:rPr>
              <w:t>24V-</w:t>
            </w:r>
            <w:bookmarkEnd w:id="47"/>
          </w:p>
        </w:tc>
      </w:tr>
      <w:tr w14:paraId="6CBD8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6E63206E">
            <w:pPr>
              <w:jc w:val="center"/>
              <w:rPr>
                <w:rFonts w:hint="default"/>
                <w:lang w:val="en-US"/>
              </w:rPr>
            </w:pPr>
            <w:bookmarkStart w:id="48" w:name="_Toc90392210"/>
            <w:r>
              <w:rPr>
                <w:rFonts w:hint="default" w:ascii="Times New Roman" w:hAnsi="Calibri" w:eastAsia="宋体" w:cs="Times New Roman"/>
                <w:kern w:val="2"/>
                <w:sz w:val="21"/>
                <w:szCs w:val="22"/>
                <w:lang w:val="en-US" w:eastAsia="zh-CN" w:bidi="ar-SA"/>
              </w:rPr>
              <w:t>S</w:t>
            </w:r>
            <w:bookmarkEnd w:id="48"/>
          </w:p>
        </w:tc>
        <w:tc>
          <w:tcPr>
            <w:tcW w:w="2438" w:type="dxa"/>
            <w:noWrap w:val="0"/>
            <w:vAlign w:val="top"/>
          </w:tcPr>
          <w:p w14:paraId="33C8D7C7">
            <w:pPr>
              <w:jc w:val="center"/>
              <w:rPr>
                <w:rFonts w:hint="default"/>
                <w:lang w:val="en-US"/>
              </w:rPr>
            </w:pPr>
            <w:bookmarkStart w:id="49" w:name="_Toc90392211"/>
            <w:r>
              <w:rPr>
                <w:rFonts w:hint="default" w:ascii="Times New Roman" w:hAnsi="Calibri" w:eastAsia="宋体" w:cs="Times New Roman"/>
                <w:kern w:val="2"/>
                <w:sz w:val="21"/>
                <w:szCs w:val="22"/>
                <w:lang w:val="en-US" w:eastAsia="zh-CN" w:bidi="ar-SA"/>
              </w:rPr>
              <w:t>4-20 мА</w:t>
            </w:r>
            <w:bookmarkEnd w:id="49"/>
          </w:p>
        </w:tc>
      </w:tr>
    </w:tbl>
    <w:p w14:paraId="26E03897">
      <w:pPr>
        <w:pStyle w:val="4"/>
        <w:spacing w:before="240" w:after="240" w:line="240" w:lineRule="auto"/>
        <w:rPr>
          <w:rFonts w:hint="default" w:ascii="宋体" w:hAnsi="宋体"/>
          <w:bCs w:val="0"/>
          <w:lang w:val="en-US"/>
        </w:rPr>
      </w:pPr>
      <w:bookmarkStart w:id="50" w:name="_Toc90393115"/>
      <w:r>
        <w:rPr>
          <w:rFonts w:hint="default" w:ascii="Times New Roman" w:hAnsi="宋体" w:eastAsia="宋体" w:cs="Times New Roman"/>
          <w:b/>
          <w:bCs w:val="0"/>
          <w:kern w:val="2"/>
          <w:sz w:val="32"/>
          <w:szCs w:val="32"/>
          <w:lang w:val="en-US" w:eastAsia="zh-CN" w:bidi="ar-SA"/>
        </w:rPr>
        <w:t>4.6 Меры предосторожности при монтаже</w:t>
      </w:r>
      <w:bookmarkEnd w:id="50"/>
    </w:p>
    <w:p w14:paraId="5B0EFC73">
      <w:pPr>
        <w:rPr>
          <w:rFonts w:hint="default"/>
          <w:lang w:val="en-US"/>
        </w:rPr>
      </w:pPr>
      <w:r>
        <w:rPr>
          <w:rFonts w:hint="default" w:ascii="Times New Roman" w:hAnsi="Calibri" w:eastAsia="宋体" w:cs="Times New Roman"/>
          <w:kern w:val="2"/>
          <w:sz w:val="21"/>
          <w:szCs w:val="22"/>
          <w:lang w:val="en-US" w:eastAsia="zh-CN" w:bidi="ar-SA"/>
        </w:rPr>
        <w:t>1) Во время монтажа строго запрещается работать с оборудованием под напряжением;</w:t>
      </w:r>
    </w:p>
    <w:p w14:paraId="2A35DCBF">
      <w:pPr>
        <w:rPr>
          <w:rFonts w:hint="default"/>
          <w:lang w:val="en-US"/>
        </w:rPr>
      </w:pPr>
      <w:r>
        <w:rPr>
          <w:rFonts w:hint="default" w:ascii="Times New Roman" w:hAnsi="Calibri" w:eastAsia="宋体" w:cs="Times New Roman"/>
          <w:kern w:val="2"/>
          <w:sz w:val="21"/>
          <w:szCs w:val="22"/>
          <w:lang w:val="en-US" w:eastAsia="zh-CN" w:bidi="ar-SA"/>
        </w:rPr>
        <w:t>2) Данное изделие относится к прецизионному оборудованию. При разборке и сборке необходимо использовать профессиональный инструмент. Строго запрещаются такие нарушения, как грубое обращение или неправильная эксплуатация.</w:t>
      </w:r>
    </w:p>
    <w:p w14:paraId="17B4C247">
      <w:pPr>
        <w:rPr>
          <w:rFonts w:hint="default"/>
          <w:lang w:val="en-US"/>
        </w:rPr>
      </w:pPr>
      <w:r>
        <w:rPr>
          <w:rFonts w:hint="default" w:ascii="Times New Roman" w:hAnsi="Calibri" w:eastAsia="宋体" w:cs="Times New Roman"/>
          <w:kern w:val="2"/>
          <w:sz w:val="21"/>
          <w:szCs w:val="22"/>
          <w:lang w:val="en-US" w:eastAsia="zh-CN" w:bidi="ar-SA"/>
        </w:rPr>
        <w:t>3) Во время монтажа прямой солнечный свет не должен попадать на линзу зонда.</w:t>
      </w:r>
    </w:p>
    <w:p w14:paraId="16875701">
      <w:pPr>
        <w:rPr>
          <w:rFonts w:hint="default"/>
          <w:lang w:val="en-US"/>
        </w:rPr>
      </w:pPr>
      <w:r>
        <w:rPr>
          <w:rFonts w:hint="default" w:ascii="Times New Roman" w:hAnsi="Calibri" w:eastAsia="宋体" w:cs="Times New Roman"/>
          <w:kern w:val="2"/>
          <w:sz w:val="21"/>
          <w:szCs w:val="22"/>
          <w:lang w:val="en-US" w:eastAsia="zh-CN" w:bidi="ar-SA"/>
        </w:rPr>
        <w:t>4) Запрещается разбирать внутренние компоненты излучающего устройства во избежание повреждения или загрязнения внутренних линз, цепей и лазера.</w:t>
      </w:r>
    </w:p>
    <w:p w14:paraId="4C4EAACF">
      <w:pPr>
        <w:rPr>
          <w:rFonts w:hint="default"/>
          <w:lang w:val="en-US"/>
        </w:rPr>
      </w:pPr>
      <w:r>
        <w:rPr>
          <w:rFonts w:hint="default" w:ascii="Times New Roman" w:hAnsi="Calibri" w:eastAsia="宋体" w:cs="Times New Roman"/>
          <w:kern w:val="2"/>
          <w:sz w:val="21"/>
          <w:szCs w:val="22"/>
          <w:lang w:val="en-US" w:eastAsia="zh-CN" w:bidi="ar-SA"/>
        </w:rPr>
        <w:t>5) Строго запрещается частое включение устройства во избежание повреждения лазера.</w:t>
      </w:r>
    </w:p>
    <w:p w14:paraId="2EBE7428">
      <w:pPr>
        <w:rPr>
          <w:rFonts w:hint="default"/>
          <w:lang w:val="en-US"/>
        </w:rPr>
      </w:pPr>
      <w:r>
        <w:rPr>
          <w:rFonts w:hint="default" w:ascii="Times New Roman" w:hAnsi="Calibri" w:eastAsia="宋体" w:cs="Times New Roman"/>
          <w:kern w:val="2"/>
          <w:sz w:val="21"/>
          <w:szCs w:val="22"/>
          <w:lang w:val="en-US" w:eastAsia="zh-CN" w:bidi="ar-SA"/>
        </w:rPr>
        <w:t>6) При монтаже оборудование необходимо заземлить.</w:t>
      </w:r>
    </w:p>
    <w:p w14:paraId="4C4B0828">
      <w:pPr>
        <w:rPr>
          <w:rFonts w:hint="default"/>
          <w:szCs w:val="21"/>
          <w:lang w:val="en-US"/>
        </w:rPr>
      </w:pPr>
      <w:r>
        <w:rPr>
          <w:rFonts w:hint="default" w:ascii="Times New Roman" w:hAnsi="Calibri" w:eastAsia="宋体" w:cs="Times New Roman"/>
          <w:kern w:val="2"/>
          <w:sz w:val="21"/>
          <w:szCs w:val="22"/>
          <w:lang w:val="en-US" w:eastAsia="zh-CN" w:bidi="ar-SA"/>
        </w:rPr>
        <w:t>7) При неисправности оборудования немедленно отключите его, уведомите технический персонал для обслуживания и свяжитесь с инженерами нашей компании для получения технических указаний.</w:t>
      </w:r>
    </w:p>
    <w:p w14:paraId="72DD9D2D">
      <w:pPr>
        <w:pStyle w:val="2"/>
        <w:spacing w:before="240" w:after="240" w:line="240" w:lineRule="auto"/>
        <w:jc w:val="left"/>
        <w:rPr>
          <w:rFonts w:hint="default" w:ascii="宋体" w:hAnsi="宋体"/>
          <w:lang w:val="en-US"/>
        </w:rPr>
      </w:pPr>
      <w:bookmarkStart w:id="51" w:name="_Toc90392212"/>
      <w:bookmarkStart w:id="52" w:name="_Toc90393116"/>
      <w:r>
        <w:rPr>
          <w:rFonts w:hint="default" w:ascii="Times New Roman" w:hAnsi="宋体" w:eastAsia="宋体" w:cs="Times New Roman"/>
          <w:b/>
          <w:bCs/>
          <w:kern w:val="44"/>
          <w:sz w:val="44"/>
          <w:szCs w:val="44"/>
          <w:lang w:val="en-US" w:eastAsia="zh-CN" w:bidi="ar-SA"/>
        </w:rPr>
        <w:t>V. Факторы, влияющие на точность</w:t>
      </w:r>
      <w:bookmarkEnd w:id="51"/>
      <w:bookmarkEnd w:id="52"/>
    </w:p>
    <w:p w14:paraId="1920D72B">
      <w:pPr>
        <w:rPr>
          <w:rFonts w:hint="default" w:cs="仿宋"/>
          <w:lang w:val="en-US"/>
        </w:rPr>
      </w:pPr>
      <w:bookmarkStart w:id="53" w:name="_Toc90392213"/>
      <w:r>
        <w:rPr>
          <w:rFonts w:ascii="Times New Roman" w:hAnsi="Calibri" w:eastAsia="宋体" w:cs="仿宋"/>
          <w:kern w:val="2"/>
          <w:sz w:val="21"/>
          <w:szCs w:val="22"/>
          <w:lang w:val="en-US" w:eastAsia="zh-CN" w:bidi="ar-SA"/>
        </w:rPr>
        <w:t>Общие факторы, влияющие на точность обнаружения:</w:t>
      </w:r>
      <w:bookmarkEnd w:id="53"/>
      <w:r>
        <w:rPr>
          <w:rFonts w:ascii="Times New Roman" w:hAnsi="Calibri" w:eastAsia="宋体" w:cs="仿宋"/>
          <w:kern w:val="2"/>
          <w:sz w:val="21"/>
          <w:szCs w:val="22"/>
          <w:lang w:val="en-US" w:eastAsia="zh-CN" w:bidi="ar-SA"/>
        </w:rPr>
        <w:t/>
      </w:r>
      <w:r>
        <w:rPr>
          <w:rFonts w:ascii="Times New Roman" w:hAnsi="Calibri" w:eastAsia="宋体" w:cs="仿宋"/>
          <w:kern w:val="2"/>
          <w:sz w:val="21"/>
          <w:szCs w:val="22"/>
          <w:lang w:val="en-US" w:eastAsia="zh-CN" w:bidi="ar-SA"/>
        </w:rPr>
        <w:tab/>
      </w:r>
    </w:p>
    <w:p w14:paraId="3EFF2A97">
      <w:pPr>
        <w:numPr>
          <w:ilvl w:val="0"/>
          <w:numId w:val="1"/>
        </w:numPr>
        <w:ind w:left="0" w:leftChars="0" w:firstLine="0" w:firstLineChars="0"/>
        <w:rPr>
          <w:rFonts w:hint="eastAsia" w:ascii="宋体" w:hAnsi="宋体" w:cs="宋体"/>
        </w:rPr>
      </w:pPr>
      <w:r>
        <w:rPr>
          <w:rFonts w:hint="default" w:ascii="Times New Roman" w:hAnsi="宋体" w:eastAsia="宋体" w:cs="宋体"/>
          <w:kern w:val="2"/>
          <w:sz w:val="21"/>
          <w:szCs w:val="22"/>
          <w:lang w:val="en-US" w:eastAsia="zh-CN" w:bidi="ar-SA"/>
        </w:rPr>
        <w:t>В наружных условиях зеркальная поверхность приёмного конца склонна к загрязнению, что приводит к ослаблению сигнала и снижению точности измерений.</w:t>
      </w:r>
    </w:p>
    <w:p w14:paraId="2C576F4C">
      <w:pPr>
        <w:numPr>
          <w:ilvl w:val="0"/>
          <w:numId w:val="1"/>
        </w:numPr>
        <w:ind w:left="0" w:leftChars="0" w:firstLine="0" w:firstLineChars="0"/>
        <w:rPr>
          <w:rFonts w:hint="eastAsia" w:ascii="宋体" w:hAnsi="宋体" w:cs="宋体"/>
        </w:rPr>
      </w:pPr>
      <w:r>
        <w:rPr>
          <w:rFonts w:hint="default" w:ascii="Times New Roman" w:hAnsi="宋体" w:eastAsia="宋体" w:cs="宋体"/>
          <w:kern w:val="2"/>
          <w:sz w:val="21"/>
          <w:szCs w:val="22"/>
          <w:lang w:val="en-US" w:eastAsia="zh-CN" w:bidi="ar-SA"/>
        </w:rPr>
        <w:t>При высокой температуре или сильном ветре диффузия газа происходит быстрее. Соответственно, при минимальных объёмах утечки выходящий газ не может эффективно удерживаться, что может привести к значительным отклонениям значений обнаружения.</w:t>
      </w:r>
    </w:p>
    <w:p w14:paraId="1DD4E447">
      <w:pPr>
        <w:numPr>
          <w:ilvl w:val="0"/>
          <w:numId w:val="1"/>
        </w:numPr>
        <w:ind w:left="0" w:leftChars="0" w:firstLine="0" w:firstLineChars="0"/>
        <w:rPr>
          <w:rFonts w:ascii="宋体" w:hAnsi="宋体" w:cs="宋体"/>
        </w:rPr>
      </w:pPr>
      <w:r>
        <w:rPr>
          <w:rFonts w:hint="default" w:ascii="Times New Roman" w:hAnsi="宋体" w:eastAsia="宋体" w:cs="宋体"/>
          <w:kern w:val="2"/>
          <w:sz w:val="21"/>
          <w:szCs w:val="22"/>
          <w:lang w:val="en-US" w:eastAsia="zh-CN" w:bidi="ar-SA"/>
        </w:rPr>
        <w:t>В неблагоприятных погодных условиях, таких как густой туман или сильная дымка, приём оптического сигнала может ослабевать, что влияет на точность измерений и нормальное функционирование.</w:t>
      </w:r>
    </w:p>
    <w:p w14:paraId="460F87A5">
      <w:pPr>
        <w:pStyle w:val="2"/>
        <w:rPr>
          <w:rFonts w:hint="default"/>
          <w:lang w:val="en-US"/>
        </w:rPr>
      </w:pPr>
      <w:bookmarkStart w:id="54" w:name="_Toc422909549"/>
      <w:bookmarkStart w:id="55" w:name="_Toc422918644"/>
      <w:bookmarkStart w:id="56" w:name="_Toc90393117"/>
      <w:bookmarkStart w:id="57" w:name="_Toc90392214"/>
      <w:r>
        <w:rPr>
          <w:rFonts w:hint="default" w:ascii="Times New Roman" w:hAnsi="Calibri" w:eastAsia="宋体" w:cs="Times New Roman"/>
          <w:b/>
          <w:bCs/>
          <w:kern w:val="44"/>
          <w:sz w:val="44"/>
          <w:szCs w:val="44"/>
          <w:lang w:val="en-US" w:eastAsia="zh-CN" w:bidi="ar-SA"/>
        </w:rPr>
        <w:t>VI. Устранение типичных неисправностей</w:t>
      </w:r>
      <w:bookmarkEnd w:id="54"/>
      <w:bookmarkEnd w:id="55"/>
      <w:bookmarkEnd w:id="56"/>
      <w:bookmarkEnd w:id="57"/>
    </w:p>
    <w:p w14:paraId="1B3584AB">
      <w:pPr>
        <w:rPr>
          <w:rFonts w:hint="default" w:ascii="宋体" w:hAnsi="宋体" w:cs="仿宋"/>
          <w:lang w:val="en-US"/>
        </w:rPr>
      </w:pPr>
      <w:r>
        <w:rPr>
          <w:rFonts w:hint="default" w:ascii="Times New Roman" w:hAnsi="宋体" w:eastAsia="宋体" w:cs="仿宋"/>
          <w:kern w:val="2"/>
          <w:sz w:val="21"/>
          <w:szCs w:val="22"/>
          <w:lang w:val="en-US" w:eastAsia="zh-CN" w:bidi="ar-SA"/>
        </w:rPr>
        <w:t>Типичные неисправности оборудования и способы их устранения:</w:t>
      </w:r>
    </w:p>
    <w:tbl>
      <w:tblPr>
        <w:tblStyle w:val="16"/>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813"/>
        <w:gridCol w:w="2173"/>
        <w:gridCol w:w="3209"/>
      </w:tblGrid>
      <w:tr w14:paraId="6BD190B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813" w:type="dxa"/>
            <w:shd w:val="pct10" w:color="auto" w:fill="auto"/>
            <w:noWrap w:val="0"/>
            <w:vAlign w:val="center"/>
          </w:tcPr>
          <w:p w14:paraId="29211A61">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проблема</w:t>
            </w:r>
          </w:p>
        </w:tc>
        <w:tc>
          <w:tcPr>
            <w:tcW w:w="2173" w:type="dxa"/>
            <w:shd w:val="pct10" w:color="auto" w:fill="auto"/>
            <w:noWrap w:val="0"/>
            <w:vAlign w:val="center"/>
          </w:tcPr>
          <w:p w14:paraId="42AB1E93">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вероятная причина</w:t>
            </w:r>
          </w:p>
        </w:tc>
        <w:tc>
          <w:tcPr>
            <w:tcW w:w="3209" w:type="dxa"/>
            <w:shd w:val="pct10" w:color="auto" w:fill="auto"/>
            <w:noWrap w:val="0"/>
            <w:vAlign w:val="center"/>
          </w:tcPr>
          <w:p w14:paraId="75A0FA61">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способ устранения</w:t>
            </w:r>
          </w:p>
        </w:tc>
      </w:tr>
      <w:tr w14:paraId="0F7223D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7" w:hRule="atLeast"/>
          <w:jc w:val="center"/>
        </w:trPr>
        <w:tc>
          <w:tcPr>
            <w:tcW w:w="1813" w:type="dxa"/>
            <w:noWrap w:val="0"/>
            <w:vAlign w:val="center"/>
          </w:tcPr>
          <w:p w14:paraId="25840E63">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Прибор не работает.</w:t>
            </w:r>
          </w:p>
        </w:tc>
        <w:tc>
          <w:tcPr>
            <w:tcW w:w="2173" w:type="dxa"/>
            <w:tcBorders>
              <w:bottom w:val="single" w:color="auto" w:sz="4" w:space="0"/>
            </w:tcBorders>
            <w:noWrap w:val="0"/>
            <w:vAlign w:val="center"/>
          </w:tcPr>
          <w:p w14:paraId="174AC765">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Устройство не подключено к питанию.</w:t>
            </w:r>
          </w:p>
        </w:tc>
        <w:tc>
          <w:tcPr>
            <w:tcW w:w="3209" w:type="dxa"/>
            <w:tcBorders>
              <w:bottom w:val="single" w:color="auto" w:sz="4" w:space="0"/>
            </w:tcBorders>
            <w:noWrap w:val="0"/>
            <w:vAlign w:val="center"/>
          </w:tcPr>
          <w:p w14:paraId="2178964C">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Проверьте исправность электропитания</w:t>
            </w:r>
          </w:p>
        </w:tc>
      </w:tr>
      <w:tr w14:paraId="586F721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7" w:hRule="atLeast"/>
          <w:jc w:val="center"/>
        </w:trPr>
        <w:tc>
          <w:tcPr>
            <w:tcW w:w="1813" w:type="dxa"/>
            <w:noWrap w:val="0"/>
            <w:vAlign w:val="center"/>
          </w:tcPr>
          <w:p w14:paraId="0EACEF57">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выход 2 мА</w:t>
            </w:r>
          </w:p>
        </w:tc>
        <w:tc>
          <w:tcPr>
            <w:tcW w:w="2173" w:type="dxa"/>
            <w:tcBorders>
              <w:bottom w:val="single" w:color="auto" w:sz="4" w:space="0"/>
            </w:tcBorders>
            <w:noWrap w:val="0"/>
            <w:vAlign w:val="center"/>
          </w:tcPr>
          <w:p w14:paraId="0DEC72E5">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Интенсивность света устройства слишком высокая или слишком низкая.</w:t>
            </w:r>
          </w:p>
        </w:tc>
        <w:tc>
          <w:tcPr>
            <w:tcW w:w="3209" w:type="dxa"/>
            <w:tcBorders>
              <w:bottom w:val="single" w:color="auto" w:sz="4" w:space="0"/>
            </w:tcBorders>
            <w:noWrap w:val="0"/>
            <w:vAlign w:val="center"/>
          </w:tcPr>
          <w:p w14:paraId="5AA04C33">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Отрегулируйте излучающее устройство и его угол</w:t>
            </w:r>
          </w:p>
        </w:tc>
      </w:tr>
      <w:tr w14:paraId="3F36D8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56" w:hRule="atLeast"/>
          <w:jc w:val="center"/>
        </w:trPr>
        <w:tc>
          <w:tcPr>
            <w:tcW w:w="1813" w:type="dxa"/>
            <w:noWrap w:val="0"/>
            <w:vAlign w:val="center"/>
          </w:tcPr>
          <w:p w14:paraId="3AD05514">
            <w:pPr>
              <w:ind w:left="630" w:hanging="630" w:hangingChars="300"/>
              <w:jc w:val="center"/>
              <w:rPr>
                <w:rFonts w:hint="default" w:ascii="宋体" w:hAnsi="宋体" w:cs="宋体"/>
                <w:lang w:val="en-US"/>
              </w:rPr>
            </w:pPr>
            <w:r>
              <w:rPr>
                <w:rFonts w:hint="default" w:ascii="Times New Roman" w:hAnsi="宋体" w:eastAsia="宋体" w:cs="宋体"/>
                <w:kern w:val="2"/>
                <w:sz w:val="21"/>
                <w:szCs w:val="22"/>
                <w:lang w:val="en-US" w:eastAsia="zh-CN" w:bidi="ar-SA"/>
              </w:rPr>
              <w:t>Приём на терминале пользователя</w:t>
            </w:r>
          </w:p>
          <w:p w14:paraId="6EB68B73">
            <w:pPr>
              <w:ind w:left="630" w:hanging="630" w:hangingChars="300"/>
              <w:jc w:val="center"/>
              <w:rPr>
                <w:rFonts w:hint="default" w:ascii="宋体" w:hAnsi="宋体" w:cs="宋体"/>
                <w:lang w:val="en-US"/>
              </w:rPr>
            </w:pPr>
            <w:r>
              <w:rPr>
                <w:rFonts w:hint="default" w:ascii="Times New Roman" w:hAnsi="宋体" w:eastAsia="宋体" w:cs="宋体"/>
                <w:kern w:val="2"/>
                <w:sz w:val="21"/>
                <w:szCs w:val="22"/>
                <w:lang w:val="en-US" w:eastAsia="zh-CN" w:bidi="ar-SA"/>
              </w:rPr>
              <w:t>Данные недоступны</w:t>
            </w:r>
          </w:p>
        </w:tc>
        <w:tc>
          <w:tcPr>
            <w:tcW w:w="2173" w:type="dxa"/>
            <w:noWrap w:val="0"/>
            <w:vAlign w:val="center"/>
          </w:tcPr>
          <w:p w14:paraId="0D4EBDDA">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Не удалось установить связь</w:t>
            </w:r>
          </w:p>
        </w:tc>
        <w:tc>
          <w:tcPr>
            <w:tcW w:w="3209" w:type="dxa"/>
            <w:tcBorders>
              <w:bottom w:val="single" w:color="auto" w:sz="4" w:space="0"/>
            </w:tcBorders>
            <w:noWrap w:val="0"/>
            <w:vAlign w:val="center"/>
          </w:tcPr>
          <w:p w14:paraId="013BFBAD">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Проверьте правильность подключения интерфейса</w:t>
            </w:r>
          </w:p>
        </w:tc>
      </w:tr>
    </w:tbl>
    <w:p w14:paraId="1AF3413A">
      <w:pPr>
        <w:pStyle w:val="2"/>
        <w:spacing w:before="240" w:after="240" w:line="240" w:lineRule="auto"/>
        <w:jc w:val="left"/>
        <w:rPr>
          <w:rFonts w:hint="default" w:ascii="宋体" w:hAnsi="宋体"/>
          <w:lang w:val="en-US"/>
        </w:rPr>
      </w:pPr>
      <w:bookmarkStart w:id="58" w:name="_Toc422918645"/>
      <w:bookmarkStart w:id="59" w:name="_Toc422909550"/>
      <w:bookmarkStart w:id="60" w:name="_Toc90393118"/>
      <w:bookmarkStart w:id="61" w:name="_Toc90392215"/>
      <w:r>
        <w:rPr>
          <w:rFonts w:hint="default" w:ascii="Times New Roman" w:hAnsi="宋体" w:eastAsia="宋体" w:cs="Times New Roman"/>
          <w:b/>
          <w:bCs/>
          <w:kern w:val="44"/>
          <w:sz w:val="44"/>
          <w:szCs w:val="44"/>
          <w:lang w:val="en-US" w:eastAsia="zh-CN" w:bidi="ar-SA"/>
        </w:rPr>
        <w:t>VII. Приложение</w:t>
      </w:r>
      <w:bookmarkEnd w:id="58"/>
      <w:bookmarkEnd w:id="59"/>
      <w:bookmarkEnd w:id="60"/>
      <w:bookmarkEnd w:id="61"/>
    </w:p>
    <w:p w14:paraId="3C21BB16">
      <w:pPr>
        <w:pStyle w:val="4"/>
        <w:spacing w:before="240" w:after="240" w:line="240" w:lineRule="auto"/>
        <w:rPr>
          <w:rFonts w:hint="default" w:ascii="宋体" w:hAnsi="宋体"/>
          <w:lang w:val="en-US"/>
        </w:rPr>
      </w:pPr>
      <w:bookmarkStart w:id="62" w:name="_Toc422918646"/>
      <w:bookmarkStart w:id="63" w:name="_Toc90393119"/>
      <w:bookmarkStart w:id="64" w:name="_Toc422909551"/>
      <w:r>
        <w:rPr>
          <w:rFonts w:hint="default" w:ascii="Times New Roman" w:hAnsi="宋体" w:eastAsia="宋体" w:cs="Times New Roman"/>
          <w:b/>
          <w:bCs/>
          <w:kern w:val="2"/>
          <w:sz w:val="32"/>
          <w:szCs w:val="32"/>
          <w:lang w:val="en-US" w:eastAsia="zh-CN" w:bidi="ar-SA"/>
        </w:rPr>
        <w:t>7.1 Ежедневное техническое обслуживание и уход</w:t>
      </w:r>
      <w:bookmarkEnd w:id="62"/>
      <w:bookmarkEnd w:id="63"/>
      <w:bookmarkEnd w:id="64"/>
    </w:p>
    <w:p w14:paraId="3F053804">
      <w:pPr>
        <w:ind w:firstLine="420" w:firstLineChars="200"/>
        <w:rPr>
          <w:rFonts w:hint="default" w:ascii="宋体" w:hAnsi="宋体" w:cs="宋体"/>
          <w:lang w:val="en-US"/>
        </w:rPr>
      </w:pPr>
      <w:r>
        <w:rPr>
          <w:rFonts w:hint="default" w:ascii="Times New Roman" w:hAnsi="宋体" w:eastAsia="宋体" w:cs="宋体"/>
          <w:kern w:val="2"/>
          <w:sz w:val="21"/>
          <w:szCs w:val="22"/>
          <w:lang w:val="en-US" w:eastAsia="zh-CN" w:bidi="ar-SA"/>
        </w:rPr>
        <w:t>Чтобы поддерживать прибор в оптимальном состоянии, выполняйте ежедневное обслуживание следующим образом.</w:t>
      </w:r>
    </w:p>
    <w:tbl>
      <w:tblPr>
        <w:tblStyle w:val="16"/>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80"/>
        <w:gridCol w:w="6295"/>
      </w:tblGrid>
      <w:tr w14:paraId="2C02CF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82" w:hRule="atLeast"/>
          <w:jc w:val="center"/>
        </w:trPr>
        <w:tc>
          <w:tcPr>
            <w:tcW w:w="880" w:type="dxa"/>
            <w:vMerge w:val="restart"/>
            <w:noWrap w:val="0"/>
            <w:vAlign w:val="center"/>
          </w:tcPr>
          <w:p w14:paraId="4FF25418">
            <w:pPr>
              <w:rPr>
                <w:rFonts w:hint="default" w:ascii="宋体" w:hAnsi="宋体" w:cs="宋体"/>
                <w:lang w:val="en-US"/>
              </w:rPr>
            </w:pPr>
            <w:r>
              <w:rPr>
                <w:rFonts w:hint="default" w:ascii="Times New Roman" w:hAnsi="宋体" w:eastAsia="宋体" w:cs="宋体"/>
                <w:kern w:val="2"/>
                <w:sz w:val="21"/>
                <w:szCs w:val="22"/>
                <w:lang w:val="en-US" w:eastAsia="zh-CN" w:bidi="ar-SA"/>
              </w:rPr>
              <w:t>корпус</w:t>
            </w:r>
          </w:p>
        </w:tc>
        <w:tc>
          <w:tcPr>
            <w:tcW w:w="6295" w:type="dxa"/>
            <w:noWrap w:val="0"/>
            <w:vAlign w:val="center"/>
          </w:tcPr>
          <w:p w14:paraId="0F0CEE03">
            <w:pPr>
              <w:rPr>
                <w:rFonts w:hint="default" w:ascii="宋体" w:hAnsi="宋体" w:cs="宋体"/>
                <w:lang w:val="en-US"/>
              </w:rPr>
            </w:pPr>
            <w:r>
              <w:rPr>
                <w:rFonts w:hint="default" w:ascii="Times New Roman" w:hAnsi="宋体" w:eastAsia="宋体" w:cs="宋体"/>
                <w:kern w:val="2"/>
                <w:sz w:val="21"/>
                <w:szCs w:val="22"/>
                <w:lang w:val="en-US" w:eastAsia="zh-CN" w:bidi="ar-SA"/>
              </w:rPr>
              <w:t>Очищайте устройство чистой мягкой тканью или другой специальной салфеткой при отключённом питании.</w:t>
            </w:r>
          </w:p>
        </w:tc>
      </w:tr>
      <w:tr w14:paraId="22C83A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880" w:type="dxa"/>
            <w:vMerge w:val="continue"/>
            <w:shd w:val="clear" w:color="auto" w:fill="auto"/>
            <w:noWrap w:val="0"/>
            <w:vAlign w:val="center"/>
          </w:tcPr>
          <w:p w14:paraId="34307615">
            <w:pPr>
              <w:rPr>
                <w:rFonts w:hint="eastAsia" w:ascii="宋体" w:hAnsi="宋体" w:cs="宋体"/>
              </w:rPr>
            </w:pPr>
          </w:p>
        </w:tc>
        <w:tc>
          <w:tcPr>
            <w:tcW w:w="6295" w:type="dxa"/>
            <w:shd w:val="pct10" w:color="auto" w:fill="auto"/>
            <w:noWrap w:val="0"/>
            <w:vAlign w:val="center"/>
          </w:tcPr>
          <w:p w14:paraId="30B431D5">
            <w:pPr>
              <w:rPr>
                <w:rFonts w:hint="default" w:ascii="宋体" w:hAnsi="宋体" w:cs="宋体"/>
                <w:lang w:val="en-US"/>
              </w:rPr>
            </w:pPr>
            <w:r>
              <w:rPr>
                <w:rFonts w:hint="default" w:ascii="Times New Roman" w:hAnsi="宋体" w:eastAsia="宋体" w:cs="宋体"/>
                <w:kern w:val="2"/>
                <w:sz w:val="21"/>
                <w:szCs w:val="22"/>
                <w:lang w:val="en-US" w:eastAsia="zh-CN" w:bidi="ar-SA"/>
              </w:rPr>
              <w:t>Внимание: не используйте бензол, растворители, газообразные органические растворители или воду для очистки приборов во избежание повреждения.</w:t>
            </w:r>
          </w:p>
        </w:tc>
      </w:tr>
      <w:tr w14:paraId="736DE99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78" w:hRule="atLeast"/>
          <w:jc w:val="center"/>
        </w:trPr>
        <w:tc>
          <w:tcPr>
            <w:tcW w:w="880" w:type="dxa"/>
            <w:vMerge w:val="restart"/>
            <w:noWrap w:val="0"/>
            <w:vAlign w:val="center"/>
          </w:tcPr>
          <w:p w14:paraId="34F77357">
            <w:pPr>
              <w:rPr>
                <w:rFonts w:hint="default" w:ascii="宋体" w:hAnsi="宋体" w:cs="宋体"/>
                <w:lang w:val="en-US"/>
              </w:rPr>
            </w:pPr>
            <w:r>
              <w:rPr>
                <w:rFonts w:hint="default" w:ascii="Times New Roman" w:hAnsi="宋体" w:eastAsia="宋体" w:cs="宋体"/>
                <w:kern w:val="2"/>
                <w:sz w:val="21"/>
                <w:szCs w:val="22"/>
                <w:lang w:val="en-US" w:eastAsia="zh-CN" w:bidi="ar-SA"/>
              </w:rPr>
              <w:t>зеркальная поверхность</w:t>
            </w:r>
          </w:p>
        </w:tc>
        <w:tc>
          <w:tcPr>
            <w:tcW w:w="6295" w:type="dxa"/>
            <w:noWrap w:val="0"/>
            <w:vAlign w:val="center"/>
          </w:tcPr>
          <w:p w14:paraId="1E79AFF1">
            <w:pPr>
              <w:rPr>
                <w:rFonts w:hint="default" w:ascii="宋体" w:hAnsi="宋体" w:cs="宋体"/>
                <w:lang w:val="en-US"/>
              </w:rPr>
            </w:pPr>
            <w:r>
              <w:rPr>
                <w:rFonts w:hint="default" w:ascii="Times New Roman" w:hAnsi="宋体" w:eastAsia="宋体" w:cs="宋体"/>
                <w:kern w:val="2"/>
                <w:sz w:val="21"/>
                <w:szCs w:val="22"/>
                <w:lang w:val="en-US" w:eastAsia="zh-CN" w:bidi="ar-SA"/>
              </w:rPr>
              <w:t>Аккуратно протирайте зеркальную поверхность специальной салфеткой или чистой мягкой тканью.</w:t>
            </w:r>
          </w:p>
        </w:tc>
      </w:tr>
      <w:tr w14:paraId="5A1D4D9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74" w:hRule="atLeast"/>
          <w:jc w:val="center"/>
        </w:trPr>
        <w:tc>
          <w:tcPr>
            <w:tcW w:w="880" w:type="dxa"/>
            <w:vMerge w:val="continue"/>
            <w:shd w:val="clear" w:color="auto" w:fill="auto"/>
            <w:noWrap w:val="0"/>
            <w:vAlign w:val="center"/>
          </w:tcPr>
          <w:p w14:paraId="28E0B6D7">
            <w:pPr>
              <w:rPr>
                <w:rFonts w:hint="eastAsia" w:ascii="宋体" w:hAnsi="宋体" w:cs="宋体"/>
              </w:rPr>
            </w:pPr>
          </w:p>
        </w:tc>
        <w:tc>
          <w:tcPr>
            <w:tcW w:w="6295" w:type="dxa"/>
            <w:shd w:val="pct10" w:color="auto" w:fill="auto"/>
            <w:noWrap w:val="0"/>
            <w:vAlign w:val="center"/>
          </w:tcPr>
          <w:p w14:paraId="5FBDAE50">
            <w:pPr>
              <w:rPr>
                <w:rFonts w:hint="default" w:ascii="宋体" w:hAnsi="宋体" w:cs="宋体"/>
                <w:lang w:val="en-US"/>
              </w:rPr>
            </w:pPr>
            <w:r>
              <w:rPr>
                <w:rFonts w:hint="default" w:ascii="Times New Roman" w:hAnsi="宋体" w:eastAsia="宋体" w:cs="宋体"/>
                <w:kern w:val="2"/>
                <w:sz w:val="21"/>
                <w:szCs w:val="22"/>
                <w:lang w:val="en-US" w:eastAsia="zh-CN" w:bidi="ar-SA"/>
              </w:rPr>
              <w:t>Примечание: не протирайте линзу руками или другой нечистой тканью во избежание повреждения поверхности.</w:t>
            </w:r>
          </w:p>
        </w:tc>
      </w:tr>
    </w:tbl>
    <w:p w14:paraId="034225A5">
      <w:pPr>
        <w:rPr>
          <w:rFonts w:hint="eastAsia" w:ascii="宋体" w:hAnsi="宋体" w:cs="宋体"/>
        </w:rPr>
      </w:pPr>
    </w:p>
    <w:p w14:paraId="3DCE56E8">
      <w:pPr>
        <w:pStyle w:val="4"/>
        <w:spacing w:before="240" w:after="240" w:line="240" w:lineRule="auto"/>
        <w:rPr>
          <w:rFonts w:hint="default" w:ascii="宋体" w:hAnsi="宋体"/>
          <w:lang w:val="en-US"/>
        </w:rPr>
      </w:pPr>
      <w:bookmarkStart w:id="65" w:name="_Toc422909552"/>
      <w:bookmarkStart w:id="66" w:name="_Toc90393120"/>
      <w:bookmarkStart w:id="67" w:name="_Toc422918647"/>
      <w:r>
        <w:rPr>
          <w:rFonts w:hint="default" w:ascii="Times New Roman" w:hAnsi="宋体" w:eastAsia="宋体" w:cs="Times New Roman"/>
          <w:b/>
          <w:bCs/>
          <w:kern w:val="2"/>
          <w:sz w:val="32"/>
          <w:szCs w:val="32"/>
          <w:lang w:val="en-US" w:eastAsia="zh-CN" w:bidi="ar-SA"/>
        </w:rPr>
        <w:t>7.2 Таблица рабочих параметров</w:t>
      </w:r>
      <w:bookmarkEnd w:id="65"/>
      <w:bookmarkEnd w:id="66"/>
      <w:bookmarkEnd w:id="67"/>
    </w:p>
    <w:tbl>
      <w:tblPr>
        <w:tblStyle w:val="16"/>
        <w:tblW w:w="7362" w:type="dxa"/>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775"/>
        <w:gridCol w:w="5587"/>
      </w:tblGrid>
      <w:tr w14:paraId="726830C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25053052">
            <w:pPr>
              <w:rPr>
                <w:rFonts w:hint="default" w:ascii="宋体" w:hAnsi="宋体" w:cs="黑体"/>
                <w:lang w:val="en-US"/>
              </w:rPr>
            </w:pPr>
            <w:r>
              <w:rPr>
                <w:rFonts w:hint="default" w:ascii="Times New Roman" w:hAnsi="宋体" w:eastAsia="宋体" w:cs="黑体"/>
                <w:kern w:val="2"/>
                <w:sz w:val="21"/>
                <w:szCs w:val="22"/>
                <w:lang w:val="en-US" w:eastAsia="zh-CN" w:bidi="ar-SA"/>
              </w:rPr>
              <w:t>рабочий параметр</w:t>
            </w:r>
          </w:p>
        </w:tc>
      </w:tr>
      <w:tr w14:paraId="25DA8A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440D2C28">
            <w:pPr>
              <w:rPr>
                <w:rFonts w:hint="default" w:ascii="宋体" w:hAnsi="宋体" w:cs="宋体"/>
                <w:lang w:val="en-US"/>
              </w:rPr>
            </w:pPr>
            <w:r>
              <w:rPr>
                <w:rFonts w:hint="default" w:ascii="Times New Roman" w:hAnsi="宋体" w:eastAsia="宋体" w:cs="宋体"/>
                <w:kern w:val="2"/>
                <w:sz w:val="21"/>
                <w:szCs w:val="22"/>
                <w:lang w:val="en-US" w:eastAsia="zh-CN" w:bidi="ar-SA"/>
              </w:rPr>
              <w:t>Виды газов</w:t>
            </w:r>
          </w:p>
        </w:tc>
        <w:tc>
          <w:tcPr>
            <w:tcW w:w="5587" w:type="dxa"/>
            <w:noWrap w:val="0"/>
            <w:vAlign w:val="top"/>
          </w:tcPr>
          <w:p w14:paraId="4E856AD5">
            <w:pPr>
              <w:rPr>
                <w:rFonts w:hint="default" w:ascii="宋体" w:hAnsi="宋体" w:cs="宋体"/>
                <w:lang w:val="en-US"/>
              </w:rPr>
            </w:pPr>
            <w:r>
              <w:rPr>
                <w:rFonts w:hint="default" w:ascii="Times New Roman" w:hAnsi="宋体" w:eastAsia="宋体" w:cs="宋体"/>
                <w:kern w:val="2"/>
                <w:sz w:val="21"/>
                <w:szCs w:val="22"/>
                <w:lang w:val="en-US" w:eastAsia="zh-CN" w:bidi="ar-SA"/>
              </w:rPr>
              <w:t>Метан (CH4)</w:t>
            </w:r>
          </w:p>
        </w:tc>
      </w:tr>
      <w:tr w14:paraId="2946DCF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6CE82F8">
            <w:pPr>
              <w:rPr>
                <w:rFonts w:hint="default" w:ascii="宋体" w:hAnsi="宋体" w:cs="宋体"/>
                <w:lang w:val="en-US"/>
              </w:rPr>
            </w:pPr>
            <w:r>
              <w:rPr>
                <w:rFonts w:hint="default" w:ascii="Times New Roman" w:hAnsi="宋体" w:eastAsia="宋体" w:cs="宋体"/>
                <w:kern w:val="2"/>
                <w:sz w:val="21"/>
                <w:szCs w:val="22"/>
                <w:lang w:val="en-US" w:eastAsia="zh-CN" w:bidi="ar-SA"/>
              </w:rPr>
              <w:t>метод измерения</w:t>
            </w:r>
          </w:p>
        </w:tc>
        <w:tc>
          <w:tcPr>
            <w:tcW w:w="5587" w:type="dxa"/>
            <w:noWrap w:val="0"/>
            <w:vAlign w:val="top"/>
          </w:tcPr>
          <w:p w14:paraId="6CEC5884">
            <w:pPr>
              <w:rPr>
                <w:rFonts w:hint="default" w:ascii="宋体" w:hAnsi="宋体" w:cs="宋体"/>
                <w:lang w:val="en-US"/>
              </w:rPr>
            </w:pPr>
            <w:r>
              <w:rPr>
                <w:rFonts w:hint="default" w:ascii="Times New Roman" w:hAnsi="宋体" w:eastAsia="宋体" w:cs="宋体"/>
                <w:kern w:val="2"/>
                <w:sz w:val="21"/>
                <w:szCs w:val="22"/>
                <w:lang w:val="en-US" w:eastAsia="zh-CN" w:bidi="ar-SA"/>
              </w:rPr>
              <w:t>Технология лазерной абсорбционной спектроскопии</w:t>
            </w:r>
          </w:p>
        </w:tc>
      </w:tr>
      <w:tr w14:paraId="397EECB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ECE92C0">
            <w:pPr>
              <w:rPr>
                <w:rFonts w:hint="default" w:ascii="宋体" w:hAnsi="宋体" w:cs="宋体"/>
                <w:lang w:val="en-US"/>
              </w:rPr>
            </w:pPr>
            <w:r>
              <w:rPr>
                <w:rFonts w:hint="default" w:ascii="Times New Roman" w:hAnsi="宋体" w:eastAsia="宋体" w:cs="宋体"/>
                <w:kern w:val="2"/>
                <w:sz w:val="21"/>
                <w:szCs w:val="22"/>
                <w:lang w:val="en-US" w:eastAsia="zh-CN" w:bidi="ar-SA"/>
              </w:rPr>
              <w:t>Диапазон измерений</w:t>
            </w:r>
          </w:p>
        </w:tc>
        <w:tc>
          <w:tcPr>
            <w:tcW w:w="5587" w:type="dxa"/>
            <w:noWrap w:val="0"/>
            <w:vAlign w:val="top"/>
          </w:tcPr>
          <w:p w14:paraId="71757BF5">
            <w:pPr>
              <w:rPr>
                <w:rFonts w:hint="default" w:ascii="宋体" w:hAnsi="宋体" w:cs="宋体"/>
                <w:lang w:val="en-US"/>
              </w:rPr>
            </w:pPr>
            <w:r>
              <w:rPr>
                <w:rFonts w:ascii="Times New Roman" w:hAnsi="宋体" w:eastAsia="宋体" w:cs="宋体"/>
                <w:kern w:val="2"/>
                <w:sz w:val="21"/>
                <w:szCs w:val="22"/>
                <w:lang w:val="en-US" w:eastAsia="zh-CN" w:bidi="ar-SA"/>
              </w:rPr>
              <w:t>0～5000ppm.m</w:t>
            </w:r>
          </w:p>
        </w:tc>
      </w:tr>
      <w:tr w14:paraId="3EB8D59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B017FD9">
            <w:pPr>
              <w:rPr>
                <w:rFonts w:hint="default" w:ascii="宋体" w:hAnsi="宋体" w:cs="宋体"/>
                <w:lang w:val="en-US"/>
              </w:rPr>
            </w:pPr>
            <w:r>
              <w:rPr>
                <w:rFonts w:hint="default" w:ascii="Times New Roman" w:hAnsi="宋体" w:eastAsia="宋体" w:cs="宋体"/>
                <w:kern w:val="2"/>
                <w:sz w:val="21"/>
                <w:szCs w:val="22"/>
                <w:lang w:val="en-US" w:eastAsia="zh-CN" w:bidi="ar-SA"/>
              </w:rPr>
              <w:t>Дальность обнаружения</w:t>
            </w:r>
          </w:p>
        </w:tc>
        <w:tc>
          <w:tcPr>
            <w:tcW w:w="5587" w:type="dxa"/>
            <w:noWrap w:val="0"/>
            <w:vAlign w:val="top"/>
          </w:tcPr>
          <w:p w14:paraId="347FFB82">
            <w:pPr>
              <w:rPr>
                <w:rFonts w:hint="default" w:ascii="宋体" w:hAnsi="宋体" w:cs="宋体"/>
                <w:lang w:val="en-US"/>
              </w:rPr>
            </w:pPr>
            <w:r>
              <w:rPr>
                <w:rFonts w:hint="default" w:ascii="Times New Roman" w:hAnsi="宋体" w:eastAsia="宋体" w:cs="宋体"/>
                <w:kern w:val="2"/>
                <w:sz w:val="21"/>
                <w:szCs w:val="22"/>
                <w:lang w:val="en-US" w:eastAsia="zh-CN" w:bidi="ar-SA"/>
              </w:rPr>
              <w:t>(0~100) метров</w:t>
            </w:r>
          </w:p>
        </w:tc>
      </w:tr>
      <w:tr w14:paraId="66D4E29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7CA46636">
            <w:pPr>
              <w:rPr>
                <w:rFonts w:hint="default" w:ascii="宋体" w:hAnsi="宋体" w:cs="宋体"/>
                <w:lang w:val="en-US"/>
              </w:rPr>
            </w:pPr>
            <w:r>
              <w:rPr>
                <w:rFonts w:hint="default" w:ascii="Times New Roman" w:hAnsi="宋体" w:eastAsia="宋体" w:cs="宋体"/>
                <w:kern w:val="2"/>
                <w:sz w:val="21"/>
                <w:szCs w:val="22"/>
                <w:lang w:val="en-US" w:eastAsia="zh-CN" w:bidi="ar-SA"/>
              </w:rPr>
              <w:t>время отклика</w:t>
            </w:r>
          </w:p>
        </w:tc>
        <w:tc>
          <w:tcPr>
            <w:tcW w:w="5587" w:type="dxa"/>
            <w:noWrap w:val="0"/>
            <w:vAlign w:val="top"/>
          </w:tcPr>
          <w:p w14:paraId="7D53A3C4">
            <w:pPr>
              <w:rPr>
                <w:rFonts w:hint="default" w:ascii="宋体" w:hAnsi="宋体" w:cs="宋体"/>
                <w:lang w:val="en-US"/>
              </w:rPr>
            </w:pPr>
            <w:r>
              <w:rPr>
                <w:rFonts w:hint="default" w:ascii="Times New Roman" w:hAnsi="宋体" w:eastAsia="宋体" w:cs="宋体"/>
                <w:kern w:val="2"/>
                <w:sz w:val="21"/>
                <w:szCs w:val="22"/>
                <w:lang w:val="en-US" w:eastAsia="zh-CN" w:bidi="ar-SA"/>
              </w:rPr>
              <w:t>1 с</w:t>
            </w:r>
          </w:p>
        </w:tc>
      </w:tr>
      <w:tr w14:paraId="73080A9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03CF6C30">
            <w:pPr>
              <w:rPr>
                <w:rFonts w:hint="default" w:ascii="宋体" w:hAnsi="宋体" w:cs="黑体"/>
                <w:lang w:val="en-US"/>
              </w:rPr>
            </w:pPr>
            <w:r>
              <w:rPr>
                <w:rFonts w:hint="default" w:ascii="Times New Roman" w:hAnsi="宋体" w:eastAsia="宋体" w:cs="黑体"/>
                <w:kern w:val="2"/>
                <w:sz w:val="21"/>
                <w:szCs w:val="22"/>
                <w:lang w:val="en-US" w:eastAsia="zh-CN" w:bidi="ar-SA"/>
              </w:rPr>
              <w:t>функциональный параметр</w:t>
            </w:r>
          </w:p>
        </w:tc>
      </w:tr>
      <w:tr w14:paraId="7FACD4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1775" w:type="dxa"/>
            <w:noWrap w:val="0"/>
            <w:vAlign w:val="top"/>
          </w:tcPr>
          <w:p w14:paraId="1F392B57">
            <w:pPr>
              <w:rPr>
                <w:rFonts w:hint="default" w:ascii="宋体" w:hAnsi="宋体" w:cs="宋体"/>
                <w:lang w:val="en-US"/>
              </w:rPr>
            </w:pPr>
            <w:r>
              <w:rPr>
                <w:rFonts w:hint="default" w:ascii="Times New Roman" w:hAnsi="宋体" w:eastAsia="宋体" w:cs="宋体"/>
                <w:kern w:val="2"/>
                <w:sz w:val="21"/>
                <w:szCs w:val="22"/>
                <w:lang w:val="en-US" w:eastAsia="zh-CN" w:bidi="ar-SA"/>
              </w:rPr>
              <w:t>Способ вывода</w:t>
            </w:r>
          </w:p>
        </w:tc>
        <w:tc>
          <w:tcPr>
            <w:tcW w:w="5587" w:type="dxa"/>
            <w:noWrap w:val="0"/>
            <w:vAlign w:val="top"/>
          </w:tcPr>
          <w:p w14:paraId="60C5E552">
            <w:pPr>
              <w:rPr>
                <w:rFonts w:hint="default" w:ascii="宋体" w:hAnsi="宋体" w:cs="宋体"/>
                <w:lang w:val="en-US"/>
              </w:rPr>
            </w:pPr>
            <w:r>
              <w:rPr>
                <w:rFonts w:hint="default" w:ascii="Times New Roman" w:hAnsi="宋体" w:eastAsia="宋体" w:cs="宋体"/>
                <w:kern w:val="2"/>
                <w:sz w:val="21"/>
                <w:szCs w:val="22"/>
                <w:lang w:val="en-US" w:eastAsia="zh-CN" w:bidi="ar-SA"/>
              </w:rPr>
              <w:t>4-20 мА</w:t>
            </w:r>
          </w:p>
          <w:p w14:paraId="3B0FB799">
            <w:pPr>
              <w:rPr>
                <w:rFonts w:hint="default" w:ascii="宋体" w:hAnsi="宋体" w:cs="宋体"/>
                <w:lang w:val="en-US"/>
              </w:rPr>
            </w:pPr>
            <w:r>
              <w:rPr>
                <w:rFonts w:hint="default" w:ascii="Times New Roman" w:hAnsi="宋体" w:eastAsia="宋体" w:cs="宋体"/>
                <w:kern w:val="2"/>
                <w:sz w:val="21"/>
                <w:szCs w:val="22"/>
                <w:lang w:val="en-US" w:eastAsia="zh-CN" w:bidi="ar-SA"/>
              </w:rPr>
              <w:t>Прерывание луча или слишком слабый сигнал: 2 мА</w:t>
            </w:r>
          </w:p>
        </w:tc>
      </w:tr>
      <w:tr w14:paraId="715D04C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04818B13">
            <w:pPr>
              <w:rPr>
                <w:rFonts w:hint="default" w:ascii="宋体" w:hAnsi="宋体" w:cs="宋体"/>
                <w:lang w:val="en-US"/>
              </w:rPr>
            </w:pPr>
            <w:r>
              <w:rPr>
                <w:rFonts w:hint="default" w:ascii="Times New Roman" w:hAnsi="宋体" w:eastAsia="宋体" w:cs="宋体"/>
                <w:kern w:val="2"/>
                <w:sz w:val="21"/>
                <w:szCs w:val="22"/>
                <w:lang w:val="en-US" w:eastAsia="zh-CN" w:bidi="ar-SA"/>
              </w:rPr>
              <w:t>Калибровка</w:t>
            </w:r>
          </w:p>
        </w:tc>
        <w:tc>
          <w:tcPr>
            <w:tcW w:w="5587" w:type="dxa"/>
            <w:noWrap w:val="0"/>
            <w:vAlign w:val="top"/>
          </w:tcPr>
          <w:p w14:paraId="784FE0A6">
            <w:pPr>
              <w:rPr>
                <w:rFonts w:hint="default" w:ascii="宋体" w:hAnsi="宋体" w:cs="宋体"/>
                <w:lang w:val="en-US"/>
              </w:rPr>
            </w:pPr>
            <w:r>
              <w:rPr>
                <w:rFonts w:hint="default" w:ascii="Times New Roman" w:hAnsi="宋体" w:eastAsia="宋体" w:cs="宋体"/>
                <w:kern w:val="2"/>
                <w:sz w:val="21"/>
                <w:szCs w:val="22"/>
                <w:lang w:val="en-US" w:eastAsia="zh-CN" w:bidi="ar-SA"/>
              </w:rPr>
              <w:t>Откалиброван на заводе</w:t>
            </w:r>
          </w:p>
        </w:tc>
      </w:tr>
      <w:tr w14:paraId="653B45D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FB14828">
            <w:pPr>
              <w:rPr>
                <w:rFonts w:hint="default" w:ascii="宋体" w:hAnsi="宋体" w:cs="宋体"/>
                <w:lang w:val="en-US"/>
              </w:rPr>
            </w:pPr>
            <w:r>
              <w:rPr>
                <w:rFonts w:hint="default" w:ascii="Times New Roman" w:hAnsi="宋体" w:eastAsia="宋体" w:cs="宋体"/>
                <w:kern w:val="2"/>
                <w:sz w:val="21"/>
                <w:szCs w:val="22"/>
                <w:lang w:val="en-US" w:eastAsia="zh-CN" w:bidi="ar-SA"/>
              </w:rPr>
              <w:t>калибровку</w:t>
            </w:r>
          </w:p>
        </w:tc>
        <w:tc>
          <w:tcPr>
            <w:tcW w:w="5587" w:type="dxa"/>
            <w:noWrap w:val="0"/>
            <w:vAlign w:val="top"/>
          </w:tcPr>
          <w:p w14:paraId="1F8CA41A">
            <w:pPr>
              <w:rPr>
                <w:rFonts w:hint="default" w:ascii="宋体" w:hAnsi="宋体" w:cs="宋体"/>
                <w:lang w:val="en-US"/>
              </w:rPr>
            </w:pPr>
            <w:r>
              <w:rPr>
                <w:rFonts w:hint="default" w:ascii="Times New Roman" w:hAnsi="宋体" w:eastAsia="宋体" w:cs="宋体"/>
                <w:kern w:val="2"/>
                <w:sz w:val="21"/>
                <w:szCs w:val="22"/>
                <w:lang w:val="en-US" w:eastAsia="zh-CN" w:bidi="ar-SA"/>
              </w:rPr>
              <w:t>Встроенное устройство автоматической калибровки</w:t>
            </w:r>
          </w:p>
        </w:tc>
      </w:tr>
      <w:tr w14:paraId="4E10D0F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413900CB">
            <w:pPr>
              <w:rPr>
                <w:rFonts w:hint="default" w:ascii="宋体" w:hAnsi="宋体" w:cs="黑体"/>
                <w:lang w:val="en-US"/>
              </w:rPr>
            </w:pPr>
            <w:r>
              <w:rPr>
                <w:rFonts w:hint="default" w:ascii="Times New Roman" w:hAnsi="宋体" w:eastAsia="宋体" w:cs="黑体"/>
                <w:kern w:val="2"/>
                <w:sz w:val="21"/>
                <w:szCs w:val="22"/>
                <w:lang w:val="en-US" w:eastAsia="zh-CN" w:bidi="ar-SA"/>
              </w:rPr>
              <w:t>Параметры внешнего вида</w:t>
            </w:r>
          </w:p>
        </w:tc>
      </w:tr>
      <w:tr w14:paraId="751557B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C9D36B5">
            <w:pPr>
              <w:rPr>
                <w:rFonts w:hint="default" w:ascii="宋体" w:hAnsi="宋体" w:cs="宋体"/>
                <w:lang w:val="en-US"/>
              </w:rPr>
            </w:pPr>
            <w:r>
              <w:rPr>
                <w:rFonts w:hint="default" w:ascii="Times New Roman" w:hAnsi="宋体" w:eastAsia="宋体" w:cs="宋体"/>
                <w:kern w:val="2"/>
                <w:sz w:val="21"/>
                <w:szCs w:val="22"/>
                <w:lang w:val="en-US" w:eastAsia="zh-CN" w:bidi="ar-SA"/>
              </w:rPr>
              <w:t>Размер изделия</w:t>
            </w:r>
          </w:p>
        </w:tc>
        <w:tc>
          <w:tcPr>
            <w:tcW w:w="5587" w:type="dxa"/>
            <w:noWrap w:val="0"/>
            <w:vAlign w:val="top"/>
          </w:tcPr>
          <w:p w14:paraId="4ED339F5">
            <w:pPr>
              <w:rPr>
                <w:rFonts w:hint="default" w:ascii="宋体" w:hAnsi="宋体" w:cs="宋体"/>
                <w:lang w:val="en-US"/>
              </w:rPr>
            </w:pPr>
            <w:r>
              <w:rPr>
                <w:rFonts w:hint="default" w:ascii="Times New Roman" w:hAnsi="宋体" w:eastAsia="宋体" w:cs="宋体"/>
                <w:kern w:val="2"/>
                <w:sz w:val="21"/>
                <w:szCs w:val="22"/>
                <w:lang w:val="en-US" w:eastAsia="zh-CN" w:bidi="ar-SA"/>
              </w:rPr>
              <w:t>Длина×Ширина×Высота: 338×155×155 (приёмо-передающее устройство)</w:t>
            </w:r>
          </w:p>
        </w:tc>
      </w:tr>
      <w:tr w14:paraId="63E54C8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58CCD0B8">
            <w:pPr>
              <w:rPr>
                <w:rFonts w:hint="default" w:ascii="宋体" w:hAnsi="宋体" w:cs="宋体"/>
                <w:lang w:val="en-US"/>
              </w:rPr>
            </w:pPr>
            <w:r>
              <w:rPr>
                <w:rFonts w:hint="default" w:ascii="Times New Roman" w:hAnsi="宋体" w:eastAsia="宋体" w:cs="宋体"/>
                <w:kern w:val="2"/>
                <w:sz w:val="21"/>
                <w:szCs w:val="22"/>
                <w:lang w:val="en-US" w:eastAsia="zh-CN" w:bidi="ar-SA"/>
              </w:rPr>
              <w:t>Масса изделия нетто</w:t>
            </w:r>
          </w:p>
        </w:tc>
        <w:tc>
          <w:tcPr>
            <w:tcW w:w="5587" w:type="dxa"/>
            <w:noWrap w:val="0"/>
            <w:vAlign w:val="top"/>
          </w:tcPr>
          <w:p w14:paraId="0E227F8B">
            <w:pPr>
              <w:rPr>
                <w:rFonts w:hint="default" w:ascii="宋体" w:hAnsi="宋体" w:cs="宋体"/>
                <w:lang w:val="en-US"/>
              </w:rPr>
            </w:pPr>
            <w:r>
              <w:rPr>
                <w:rFonts w:hint="default" w:ascii="Times New Roman" w:hAnsi="宋体" w:eastAsia="宋体" w:cs="宋体"/>
                <w:kern w:val="2"/>
                <w:sz w:val="21"/>
                <w:szCs w:val="22"/>
                <w:lang w:val="en-US" w:eastAsia="zh-CN" w:bidi="ar-SA"/>
              </w:rPr>
              <w:t>25±0.5 кг</w:t>
            </w:r>
          </w:p>
        </w:tc>
      </w:tr>
      <w:tr w14:paraId="6F0593C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FB5E1BD">
            <w:pPr>
              <w:rPr>
                <w:rFonts w:hint="default" w:ascii="宋体" w:hAnsi="宋体" w:cs="宋体"/>
                <w:lang w:val="en-US"/>
              </w:rPr>
            </w:pPr>
            <w:r>
              <w:rPr>
                <w:rFonts w:hint="default" w:ascii="Times New Roman" w:hAnsi="宋体" w:eastAsia="宋体" w:cs="宋体"/>
                <w:kern w:val="2"/>
                <w:sz w:val="21"/>
                <w:szCs w:val="22"/>
                <w:lang w:val="en-US" w:eastAsia="zh-CN" w:bidi="ar-SA"/>
              </w:rPr>
              <w:t>Способ электропитания</w:t>
            </w:r>
          </w:p>
        </w:tc>
        <w:tc>
          <w:tcPr>
            <w:tcW w:w="5587" w:type="dxa"/>
            <w:noWrap w:val="0"/>
            <w:vAlign w:val="top"/>
          </w:tcPr>
          <w:p w14:paraId="3BB3348B">
            <w:pPr>
              <w:rPr>
                <w:rFonts w:hint="default" w:ascii="宋体" w:hAnsi="宋体" w:cs="宋体"/>
                <w:lang w:val="en-US"/>
              </w:rPr>
            </w:pPr>
            <w:r>
              <w:rPr>
                <w:rFonts w:hint="default" w:ascii="Times New Roman" w:hAnsi="宋体" w:eastAsia="宋体" w:cs="宋体"/>
                <w:kern w:val="2"/>
                <w:sz w:val="21"/>
                <w:szCs w:val="22"/>
                <w:lang w:val="en-US" w:eastAsia="zh-CN" w:bidi="ar-SA"/>
              </w:rPr>
              <w:t>DC24В</w:t>
            </w:r>
          </w:p>
        </w:tc>
      </w:tr>
      <w:tr w14:paraId="0C8F8D9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clear" w:color="auto" w:fill="E6E6E6"/>
            <w:noWrap w:val="0"/>
            <w:vAlign w:val="top"/>
          </w:tcPr>
          <w:p w14:paraId="50F42ED3">
            <w:pPr>
              <w:rPr>
                <w:rFonts w:hint="default" w:ascii="宋体" w:hAnsi="宋体" w:cs="黑体"/>
                <w:lang w:val="en-US"/>
              </w:rPr>
            </w:pPr>
            <w:r>
              <w:rPr>
                <w:rFonts w:hint="default" w:ascii="Times New Roman" w:hAnsi="宋体" w:eastAsia="宋体" w:cs="黑体"/>
                <w:kern w:val="2"/>
                <w:sz w:val="21"/>
                <w:szCs w:val="22"/>
                <w:lang w:val="en-US" w:eastAsia="zh-CN" w:bidi="ar-SA"/>
              </w:rPr>
              <w:t>Электрические параметры</w:t>
            </w:r>
          </w:p>
        </w:tc>
      </w:tr>
      <w:tr w14:paraId="6BC16D1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4E83D9BE">
            <w:pPr>
              <w:rPr>
                <w:rFonts w:hint="default" w:ascii="宋体" w:hAnsi="宋体" w:cs="宋体"/>
                <w:lang w:val="en-US"/>
              </w:rPr>
            </w:pPr>
            <w:r>
              <w:rPr>
                <w:rFonts w:hint="default" w:ascii="Times New Roman" w:hAnsi="宋体" w:eastAsia="宋体" w:cs="宋体"/>
                <w:kern w:val="2"/>
                <w:sz w:val="21"/>
                <w:szCs w:val="22"/>
                <w:lang w:val="en-US" w:eastAsia="zh-CN" w:bidi="ar-SA"/>
              </w:rPr>
              <w:t>Номинальное напряжение</w:t>
            </w:r>
          </w:p>
        </w:tc>
        <w:tc>
          <w:tcPr>
            <w:tcW w:w="5587" w:type="dxa"/>
            <w:noWrap w:val="0"/>
            <w:vAlign w:val="top"/>
          </w:tcPr>
          <w:p w14:paraId="0F021755">
            <w:pPr>
              <w:rPr>
                <w:rFonts w:hint="default" w:ascii="宋体" w:hAnsi="宋体" w:cs="宋体"/>
                <w:lang w:val="en-US"/>
              </w:rPr>
            </w:pPr>
            <w:r>
              <w:rPr>
                <w:rFonts w:hint="default" w:ascii="Times New Roman" w:hAnsi="宋体" w:eastAsia="宋体" w:cs="宋体"/>
                <w:kern w:val="2"/>
                <w:sz w:val="21"/>
                <w:szCs w:val="22"/>
                <w:lang w:val="en-US" w:eastAsia="zh-CN" w:bidi="ar-SA"/>
              </w:rPr>
              <w:t>24В</w:t>
            </w:r>
          </w:p>
        </w:tc>
      </w:tr>
      <w:tr w14:paraId="3008F28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06FC589">
            <w:pPr>
              <w:rPr>
                <w:rFonts w:hint="default" w:ascii="宋体" w:hAnsi="宋体" w:cs="宋体"/>
                <w:lang w:val="en-US"/>
              </w:rPr>
            </w:pPr>
            <w:r>
              <w:rPr>
                <w:rFonts w:hint="default" w:ascii="Times New Roman" w:hAnsi="宋体" w:eastAsia="宋体" w:cs="宋体"/>
                <w:kern w:val="2"/>
                <w:sz w:val="21"/>
                <w:szCs w:val="22"/>
                <w:lang w:val="en-US" w:eastAsia="zh-CN" w:bidi="ar-SA"/>
              </w:rPr>
              <w:t>Номинальный ток</w:t>
            </w:r>
          </w:p>
        </w:tc>
        <w:tc>
          <w:tcPr>
            <w:tcW w:w="5587" w:type="dxa"/>
            <w:noWrap w:val="0"/>
            <w:vAlign w:val="top"/>
          </w:tcPr>
          <w:p w14:paraId="45DBBA0F">
            <w:pPr>
              <w:rPr>
                <w:rFonts w:hint="default" w:ascii="宋体" w:hAnsi="宋体" w:cs="宋体"/>
                <w:lang w:val="en-US"/>
              </w:rPr>
            </w:pPr>
            <w:r>
              <w:rPr>
                <w:rFonts w:hint="default" w:ascii="Times New Roman" w:hAnsi="宋体" w:eastAsia="宋体" w:cs="宋体"/>
                <w:kern w:val="2"/>
                <w:sz w:val="21"/>
                <w:szCs w:val="22"/>
                <w:lang w:val="en-US" w:eastAsia="zh-CN" w:bidi="ar-SA"/>
              </w:rPr>
              <w:t>150мА</w:t>
            </w:r>
          </w:p>
        </w:tc>
      </w:tr>
      <w:tr w14:paraId="2C8F72C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03EBDCB">
            <w:pPr>
              <w:rPr>
                <w:rFonts w:hint="default" w:ascii="宋体" w:hAnsi="宋体" w:cs="宋体"/>
                <w:lang w:val="en-US"/>
              </w:rPr>
            </w:pPr>
            <w:r>
              <w:rPr>
                <w:rFonts w:hint="default" w:ascii="Times New Roman" w:hAnsi="宋体" w:eastAsia="宋体" w:cs="宋体"/>
                <w:kern w:val="2"/>
                <w:sz w:val="21"/>
                <w:szCs w:val="22"/>
                <w:lang w:val="en-US" w:eastAsia="zh-CN" w:bidi="ar-SA"/>
              </w:rPr>
              <w:t>Максимальный ток</w:t>
            </w:r>
          </w:p>
        </w:tc>
        <w:tc>
          <w:tcPr>
            <w:tcW w:w="5587" w:type="dxa"/>
            <w:noWrap w:val="0"/>
            <w:vAlign w:val="top"/>
          </w:tcPr>
          <w:p w14:paraId="4A840B79">
            <w:pPr>
              <w:rPr>
                <w:rFonts w:hint="default" w:ascii="宋体" w:hAnsi="宋体" w:cs="宋体"/>
                <w:lang w:val="en-US"/>
              </w:rPr>
            </w:pPr>
            <w:r>
              <w:rPr>
                <w:rFonts w:hint="default" w:ascii="Times New Roman" w:hAnsi="宋体" w:eastAsia="宋体" w:cs="宋体"/>
                <w:kern w:val="2"/>
                <w:sz w:val="21"/>
                <w:szCs w:val="22"/>
                <w:lang w:val="en-US" w:eastAsia="zh-CN" w:bidi="ar-SA"/>
              </w:rPr>
              <w:t>0.6А</w:t>
            </w:r>
          </w:p>
        </w:tc>
      </w:tr>
      <w:tr w14:paraId="0D89898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24C472EE">
            <w:pPr>
              <w:rPr>
                <w:rFonts w:hint="default" w:ascii="宋体" w:hAnsi="宋体" w:cs="黑体"/>
                <w:lang w:val="en-US"/>
              </w:rPr>
            </w:pPr>
            <w:r>
              <w:rPr>
                <w:rFonts w:hint="default" w:ascii="Times New Roman" w:hAnsi="宋体" w:eastAsia="宋体" w:cs="黑体"/>
                <w:kern w:val="2"/>
                <w:sz w:val="21"/>
                <w:szCs w:val="22"/>
                <w:lang w:val="en-US" w:eastAsia="zh-CN" w:bidi="ar-SA"/>
              </w:rPr>
              <w:t>Условия эксплуатации и комплектация</w:t>
            </w:r>
          </w:p>
        </w:tc>
      </w:tr>
      <w:tr w14:paraId="6B55DF9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5AC4631E">
            <w:pPr>
              <w:rPr>
                <w:rFonts w:hint="default" w:ascii="宋体" w:hAnsi="宋体" w:cs="宋体"/>
                <w:lang w:val="en-US"/>
              </w:rPr>
            </w:pPr>
            <w:r>
              <w:rPr>
                <w:rFonts w:hint="default" w:ascii="Times New Roman" w:hAnsi="宋体" w:eastAsia="宋体" w:cs="宋体"/>
                <w:kern w:val="2"/>
                <w:sz w:val="21"/>
                <w:szCs w:val="22"/>
                <w:lang w:val="en-US" w:eastAsia="zh-CN" w:bidi="ar-SA"/>
              </w:rPr>
              <w:t>Температура окружающей среды</w:t>
            </w:r>
          </w:p>
        </w:tc>
        <w:tc>
          <w:tcPr>
            <w:tcW w:w="5587" w:type="dxa"/>
            <w:noWrap w:val="0"/>
            <w:vAlign w:val="top"/>
          </w:tcPr>
          <w:p w14:paraId="0964B787">
            <w:pPr>
              <w:rPr>
                <w:rFonts w:hint="default" w:ascii="宋体" w:hAnsi="宋体" w:cs="宋体"/>
                <w:lang w:val="en-US"/>
              </w:rPr>
            </w:pPr>
            <w:r>
              <w:rPr>
                <w:rFonts w:hint="default" w:ascii="Times New Roman" w:hAnsi="宋体" w:eastAsia="宋体" w:cs="宋体"/>
                <w:kern w:val="2"/>
                <w:sz w:val="21"/>
                <w:szCs w:val="22"/>
                <w:lang w:val="en-US" w:eastAsia="zh-CN" w:bidi="ar-SA"/>
              </w:rPr>
              <w:t>（-40～+70）℃</w:t>
            </w:r>
          </w:p>
        </w:tc>
      </w:tr>
      <w:tr w14:paraId="090037F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CD32820">
            <w:pPr>
              <w:rPr>
                <w:rFonts w:hint="default" w:ascii="宋体" w:hAnsi="宋体" w:cs="宋体"/>
                <w:lang w:val="en-US"/>
              </w:rPr>
            </w:pPr>
            <w:r>
              <w:rPr>
                <w:rFonts w:hint="default" w:ascii="Times New Roman" w:hAnsi="宋体" w:eastAsia="宋体" w:cs="宋体"/>
                <w:kern w:val="2"/>
                <w:sz w:val="21"/>
                <w:szCs w:val="22"/>
                <w:lang w:val="en-US" w:eastAsia="zh-CN" w:bidi="ar-SA"/>
              </w:rPr>
              <w:t>Влажность окружающей среды</w:t>
            </w:r>
          </w:p>
        </w:tc>
        <w:tc>
          <w:tcPr>
            <w:tcW w:w="5587" w:type="dxa"/>
            <w:noWrap w:val="0"/>
            <w:vAlign w:val="top"/>
          </w:tcPr>
          <w:p w14:paraId="461DF2E3">
            <w:pPr>
              <w:rPr>
                <w:rFonts w:hint="default" w:ascii="宋体" w:hAnsi="宋体" w:cs="宋体"/>
                <w:lang w:val="en-US"/>
              </w:rPr>
            </w:pPr>
            <w:r>
              <w:rPr>
                <w:rFonts w:hint="default" w:ascii="Times New Roman" w:hAnsi="宋体" w:eastAsia="宋体" w:cs="宋体"/>
                <w:kern w:val="2"/>
                <w:sz w:val="21"/>
                <w:szCs w:val="22"/>
                <w:lang w:val="en-US" w:eastAsia="zh-CN" w:bidi="ar-SA"/>
              </w:rPr>
              <w:t>(0–90)% RH, без конденсации</w:t>
            </w:r>
          </w:p>
        </w:tc>
      </w:tr>
      <w:tr w14:paraId="260BC9C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7142078">
            <w:pPr>
              <w:rPr>
                <w:rFonts w:hint="default" w:ascii="宋体" w:hAnsi="宋体" w:cs="宋体"/>
                <w:lang w:val="en-US"/>
              </w:rPr>
            </w:pPr>
            <w:r>
              <w:rPr>
                <w:rFonts w:hint="default" w:ascii="Times New Roman" w:hAnsi="宋体" w:eastAsia="宋体" w:cs="宋体"/>
                <w:kern w:val="2"/>
                <w:sz w:val="21"/>
                <w:szCs w:val="22"/>
                <w:lang w:val="en-US" w:eastAsia="zh-CN" w:bidi="ar-SA"/>
              </w:rPr>
              <w:t>Атмосферное давление</w:t>
            </w:r>
          </w:p>
        </w:tc>
        <w:tc>
          <w:tcPr>
            <w:tcW w:w="5587" w:type="dxa"/>
            <w:noWrap w:val="0"/>
            <w:vAlign w:val="top"/>
          </w:tcPr>
          <w:p w14:paraId="7C472785">
            <w:pPr>
              <w:rPr>
                <w:rFonts w:hint="default" w:ascii="宋体" w:hAnsi="宋体" w:cs="宋体"/>
                <w:lang w:val="en-US"/>
              </w:rPr>
            </w:pPr>
            <w:r>
              <w:rPr>
                <w:rFonts w:hint="default" w:ascii="Times New Roman" w:hAnsi="宋体" w:eastAsia="宋体" w:cs="宋体"/>
                <w:kern w:val="2"/>
                <w:sz w:val="21"/>
                <w:szCs w:val="22"/>
                <w:lang w:val="en-US" w:eastAsia="zh-CN" w:bidi="ar-SA"/>
              </w:rPr>
              <w:t>70 кПа ～ 106 кПа</w:t>
            </w:r>
          </w:p>
        </w:tc>
      </w:tr>
      <w:tr w14:paraId="2E1EBEF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clear" w:color="auto" w:fill="D9D9D9"/>
            <w:noWrap w:val="0"/>
            <w:vAlign w:val="top"/>
          </w:tcPr>
          <w:p w14:paraId="6684F217">
            <w:pPr>
              <w:rPr>
                <w:rFonts w:hint="default" w:ascii="宋体" w:hAnsi="宋体" w:cs="黑体"/>
                <w:lang w:val="en-US"/>
              </w:rPr>
            </w:pPr>
            <w:r>
              <w:rPr>
                <w:rFonts w:hint="default" w:ascii="Times New Roman" w:hAnsi="宋体" w:eastAsia="宋体" w:cs="黑体"/>
                <w:kern w:val="2"/>
                <w:sz w:val="21"/>
                <w:szCs w:val="22"/>
                <w:lang w:val="en-US" w:eastAsia="zh-CN" w:bidi="ar-SA"/>
              </w:rPr>
              <w:t>Параметр искробезопасности</w:t>
            </w:r>
          </w:p>
        </w:tc>
      </w:tr>
      <w:tr w14:paraId="0B85F9A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AC3C11A">
            <w:pPr>
              <w:rPr>
                <w:rFonts w:hint="default" w:ascii="宋体" w:hAnsi="宋体" w:cs="宋体"/>
                <w:lang w:val="en-US"/>
              </w:rPr>
            </w:pPr>
            <w:r>
              <w:rPr>
                <w:rFonts w:hint="default" w:ascii="Times New Roman" w:hAnsi="宋体" w:eastAsia="宋体" w:cs="宋体"/>
                <w:kern w:val="2"/>
                <w:sz w:val="21"/>
                <w:szCs w:val="22"/>
                <w:lang w:val="en-US" w:eastAsia="zh-CN" w:bidi="ar-SA"/>
              </w:rPr>
              <w:t>Искробезопасные параметры электропитания</w:t>
            </w:r>
          </w:p>
        </w:tc>
        <w:tc>
          <w:tcPr>
            <w:tcW w:w="5587" w:type="dxa"/>
            <w:noWrap w:val="0"/>
            <w:vAlign w:val="top"/>
          </w:tcPr>
          <w:p w14:paraId="4B94DE61">
            <w:pPr>
              <w:rPr>
                <w:rFonts w:hint="default" w:ascii="宋体" w:hAnsi="宋体" w:cs="宋体"/>
                <w:lang w:val="en-US"/>
              </w:rPr>
            </w:pPr>
            <w:r>
              <w:rPr>
                <w:rFonts w:hint="default" w:ascii="Times New Roman" w:hAnsi="宋体" w:eastAsia="宋体" w:cs="宋体"/>
                <w:kern w:val="2"/>
                <w:sz w:val="21"/>
                <w:szCs w:val="22"/>
                <w:lang w:val="en-US" w:eastAsia="zh-CN" w:bidi="ar-SA"/>
              </w:rPr>
              <w:t>Ui=28В DC;Ii=93мА;Ci=0;Li=0;Pi=0.65Вт</w:t>
            </w:r>
          </w:p>
        </w:tc>
      </w:tr>
    </w:tbl>
    <w:p w14:paraId="74D15911">
      <w:pPr>
        <w:ind w:firstLine="420"/>
        <w:rPr>
          <w:rFonts w:hint="default" w:ascii="宋体" w:hAnsi="宋体" w:cs="宋体"/>
          <w:lang w:val="en-US"/>
        </w:rPr>
      </w:pPr>
      <w:r>
        <w:rPr>
          <w:rFonts w:hint="default" w:ascii="Times New Roman" w:hAnsi="宋体" w:eastAsia="宋体" w:cs="宋体"/>
          <w:kern w:val="2"/>
          <w:sz w:val="21"/>
          <w:szCs w:val="22"/>
          <w:lang w:val="en-US" w:eastAsia="zh-CN" w:bidi="ar-SA"/>
        </w:rPr>
        <w:t xml:space="preserve">                </w:t>
      </w:r>
    </w:p>
    <w:p w14:paraId="247496E2">
      <w:pPr>
        <w:rPr>
          <w:rFonts w:hint="eastAsia" w:ascii="宋体" w:hAnsi="宋体" w:cs="仿宋"/>
        </w:rPr>
      </w:pPr>
    </w:p>
    <w:sectPr>
      <w:footerReference r:id="rId5" w:type="default"/>
      <w:footerReference r:id="rId6" w:type="even"/>
      <w:pgSz w:w="10319" w:h="14572"/>
      <w:pgMar w:top="1474" w:right="1474" w:bottom="1474" w:left="1701"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7F43">
    <w:pPr>
      <w:pStyle w:val="9"/>
      <w:ind w:firstLine="6930" w:firstLineChars="38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BA4E5">
    <w:pPr>
      <w:pStyle w:val="9"/>
      <w:jc w:val="center"/>
      <w:rPr>
        <w:rFonts w:hint="default"/>
        <w:lang w:val="en-US"/>
      </w:rPr>
    </w:pPr>
    <w:r>
      <w:rPr>
        <w:rFonts w:ascii="Times New Roman" w:hAnsi="Calibri" w:eastAsia="宋体" w:cs="Times New Roman"/>
        <w:kern w:val="2"/>
        <w:sz w:val="18"/>
        <w:szCs w:val="18"/>
        <w:lang w:val="en-US" w:eastAsia="zh-CN" w:bidi="ar-SA"/>
      </w:rPr>
      <w:t>1</w:t>
    </w:r>
  </w:p>
  <w:p w14:paraId="44C9522F">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6FCBE">
    <w:pPr>
      <w:pStyle w:val="9"/>
      <w:jc w:val="center"/>
    </w:pPr>
    <w:r>
      <w:fldChar w:fldCharType="begin"/>
    </w:r>
    <w:r>
      <w:instrText xml:space="preserve">PAGE   \* MERGEFORMAT</w:instrText>
    </w:r>
    <w:r>
      <w:fldChar w:fldCharType="separate"/>
    </w:r>
    <w:r>
      <w:rPr>
        <w:lang w:val="zh-CN"/>
      </w:rPr>
      <w:t>2</w:t>
    </w:r>
    <w:r>
      <w:fldChar w:fldCharType="end"/>
    </w:r>
  </w:p>
  <w:p w14:paraId="2102363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F6BCC">
    <w:pPr>
      <w:pStyle w:val="10"/>
      <w:rPr>
        <w:rFonts w:hint="default"/>
        <w:lang w:val="en-US"/>
      </w:rPr>
    </w:pPr>
    <w:r>
      <w:rPr>
        <w:rFonts w:hint="default" w:ascii="Times New Roman" w:hAnsi="Calibri" w:eastAsia="宋体" w:cs="Times New Roman"/>
        <w:kern w:val="2"/>
        <w:sz w:val="18"/>
        <w:szCs w:val="18"/>
        <w:lang w:val="en-US" w:eastAsia="zh-CN" w:bidi="ar-SA"/>
      </w:rPr>
      <w:t xml:space="preserve">Эксперт по лазерному обнаружению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FE044A"/>
    <w:multiLevelType w:val="multilevel"/>
    <w:tmpl w:val="9CFE044A"/>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DEE21C3"/>
    <w:multiLevelType w:val="singleLevel"/>
    <w:tmpl w:val="7DEE21C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isplayHorizontalDrawingGridEvery w:val="1"/>
  <w:displayVerticalDrawingGridEvery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F7"/>
    <w:rsid w:val="00003F69"/>
    <w:rsid w:val="000047D3"/>
    <w:rsid w:val="000063C8"/>
    <w:rsid w:val="000076EE"/>
    <w:rsid w:val="000131D4"/>
    <w:rsid w:val="00013E03"/>
    <w:rsid w:val="000208B4"/>
    <w:rsid w:val="00024D8F"/>
    <w:rsid w:val="000318E1"/>
    <w:rsid w:val="00034546"/>
    <w:rsid w:val="000435EF"/>
    <w:rsid w:val="00050626"/>
    <w:rsid w:val="0005481B"/>
    <w:rsid w:val="0006382A"/>
    <w:rsid w:val="000639F6"/>
    <w:rsid w:val="0006517A"/>
    <w:rsid w:val="00065D28"/>
    <w:rsid w:val="00065E66"/>
    <w:rsid w:val="00070AE9"/>
    <w:rsid w:val="00071C9B"/>
    <w:rsid w:val="00082856"/>
    <w:rsid w:val="0008381A"/>
    <w:rsid w:val="000838BB"/>
    <w:rsid w:val="00084E0A"/>
    <w:rsid w:val="00087A7C"/>
    <w:rsid w:val="00096369"/>
    <w:rsid w:val="000A0DB4"/>
    <w:rsid w:val="000A1696"/>
    <w:rsid w:val="000A16D8"/>
    <w:rsid w:val="000A3E78"/>
    <w:rsid w:val="000A6444"/>
    <w:rsid w:val="000B02B7"/>
    <w:rsid w:val="000B2339"/>
    <w:rsid w:val="000B2C5F"/>
    <w:rsid w:val="000B5FA8"/>
    <w:rsid w:val="000B6ADC"/>
    <w:rsid w:val="000C1646"/>
    <w:rsid w:val="000C309D"/>
    <w:rsid w:val="000C6AFD"/>
    <w:rsid w:val="000D3628"/>
    <w:rsid w:val="000D5B81"/>
    <w:rsid w:val="000E00DA"/>
    <w:rsid w:val="000E3526"/>
    <w:rsid w:val="000E6117"/>
    <w:rsid w:val="000F5F99"/>
    <w:rsid w:val="000F7BA1"/>
    <w:rsid w:val="001016AC"/>
    <w:rsid w:val="001025E0"/>
    <w:rsid w:val="00103465"/>
    <w:rsid w:val="00107F8D"/>
    <w:rsid w:val="001118F5"/>
    <w:rsid w:val="0011411B"/>
    <w:rsid w:val="001170DD"/>
    <w:rsid w:val="00121A90"/>
    <w:rsid w:val="00122AE7"/>
    <w:rsid w:val="00124A31"/>
    <w:rsid w:val="0012536D"/>
    <w:rsid w:val="00126AAC"/>
    <w:rsid w:val="0012710F"/>
    <w:rsid w:val="00127D52"/>
    <w:rsid w:val="001300F2"/>
    <w:rsid w:val="00132525"/>
    <w:rsid w:val="00136A84"/>
    <w:rsid w:val="00141422"/>
    <w:rsid w:val="00142C7C"/>
    <w:rsid w:val="0014335E"/>
    <w:rsid w:val="00144DF6"/>
    <w:rsid w:val="001519BC"/>
    <w:rsid w:val="00154CA6"/>
    <w:rsid w:val="001641F9"/>
    <w:rsid w:val="00171678"/>
    <w:rsid w:val="00172F24"/>
    <w:rsid w:val="00174AD5"/>
    <w:rsid w:val="001761B1"/>
    <w:rsid w:val="001770E5"/>
    <w:rsid w:val="001900AE"/>
    <w:rsid w:val="001924CB"/>
    <w:rsid w:val="001A1151"/>
    <w:rsid w:val="001A761A"/>
    <w:rsid w:val="001B2CC1"/>
    <w:rsid w:val="001C3048"/>
    <w:rsid w:val="001C320E"/>
    <w:rsid w:val="001C5367"/>
    <w:rsid w:val="001D6495"/>
    <w:rsid w:val="001E7F55"/>
    <w:rsid w:val="001F3A5E"/>
    <w:rsid w:val="001F6D5F"/>
    <w:rsid w:val="0020089E"/>
    <w:rsid w:val="00200E09"/>
    <w:rsid w:val="00203344"/>
    <w:rsid w:val="0021003D"/>
    <w:rsid w:val="00214A7F"/>
    <w:rsid w:val="002313CB"/>
    <w:rsid w:val="00231AD7"/>
    <w:rsid w:val="002334DE"/>
    <w:rsid w:val="00235AC7"/>
    <w:rsid w:val="00250CB1"/>
    <w:rsid w:val="00251A97"/>
    <w:rsid w:val="0025306E"/>
    <w:rsid w:val="00257FA5"/>
    <w:rsid w:val="0026244E"/>
    <w:rsid w:val="0026608C"/>
    <w:rsid w:val="00267606"/>
    <w:rsid w:val="0027111B"/>
    <w:rsid w:val="002717CA"/>
    <w:rsid w:val="002761C3"/>
    <w:rsid w:val="00277A79"/>
    <w:rsid w:val="00285723"/>
    <w:rsid w:val="002861B5"/>
    <w:rsid w:val="002901CA"/>
    <w:rsid w:val="00293C11"/>
    <w:rsid w:val="002968B4"/>
    <w:rsid w:val="002A125B"/>
    <w:rsid w:val="002A281C"/>
    <w:rsid w:val="002B642E"/>
    <w:rsid w:val="002C30AB"/>
    <w:rsid w:val="002C494B"/>
    <w:rsid w:val="002D0B10"/>
    <w:rsid w:val="002D2186"/>
    <w:rsid w:val="002D6793"/>
    <w:rsid w:val="002D75C8"/>
    <w:rsid w:val="002E1456"/>
    <w:rsid w:val="002E4265"/>
    <w:rsid w:val="002E53B8"/>
    <w:rsid w:val="002E6498"/>
    <w:rsid w:val="002E75EC"/>
    <w:rsid w:val="002F2D65"/>
    <w:rsid w:val="002F7E63"/>
    <w:rsid w:val="003003DD"/>
    <w:rsid w:val="00305C66"/>
    <w:rsid w:val="00307535"/>
    <w:rsid w:val="0031402F"/>
    <w:rsid w:val="00322405"/>
    <w:rsid w:val="00332222"/>
    <w:rsid w:val="00334DA2"/>
    <w:rsid w:val="003362C4"/>
    <w:rsid w:val="003368F1"/>
    <w:rsid w:val="003467A4"/>
    <w:rsid w:val="00350A6A"/>
    <w:rsid w:val="0035270A"/>
    <w:rsid w:val="00354D1F"/>
    <w:rsid w:val="00357242"/>
    <w:rsid w:val="003603B0"/>
    <w:rsid w:val="00363B4B"/>
    <w:rsid w:val="00370DB6"/>
    <w:rsid w:val="00371360"/>
    <w:rsid w:val="00373560"/>
    <w:rsid w:val="00377AD9"/>
    <w:rsid w:val="00377F12"/>
    <w:rsid w:val="00382711"/>
    <w:rsid w:val="00391DE6"/>
    <w:rsid w:val="00393C96"/>
    <w:rsid w:val="00394DEB"/>
    <w:rsid w:val="00397EAB"/>
    <w:rsid w:val="003A2B31"/>
    <w:rsid w:val="003B20C8"/>
    <w:rsid w:val="003B2F45"/>
    <w:rsid w:val="003C28D0"/>
    <w:rsid w:val="003D5698"/>
    <w:rsid w:val="003E16DE"/>
    <w:rsid w:val="003E3A89"/>
    <w:rsid w:val="003F0743"/>
    <w:rsid w:val="003F5A7F"/>
    <w:rsid w:val="003F663A"/>
    <w:rsid w:val="003F77C8"/>
    <w:rsid w:val="00404817"/>
    <w:rsid w:val="004079FF"/>
    <w:rsid w:val="0041339A"/>
    <w:rsid w:val="00417815"/>
    <w:rsid w:val="004227BB"/>
    <w:rsid w:val="00422A58"/>
    <w:rsid w:val="004303C4"/>
    <w:rsid w:val="00431BEA"/>
    <w:rsid w:val="00434E0B"/>
    <w:rsid w:val="004370A7"/>
    <w:rsid w:val="0043733A"/>
    <w:rsid w:val="00441075"/>
    <w:rsid w:val="004508FD"/>
    <w:rsid w:val="00450F49"/>
    <w:rsid w:val="004512E0"/>
    <w:rsid w:val="00452D4E"/>
    <w:rsid w:val="004544B5"/>
    <w:rsid w:val="00455C82"/>
    <w:rsid w:val="0046006E"/>
    <w:rsid w:val="004608FA"/>
    <w:rsid w:val="00466E46"/>
    <w:rsid w:val="00471230"/>
    <w:rsid w:val="00490CE6"/>
    <w:rsid w:val="004939FB"/>
    <w:rsid w:val="00497FF1"/>
    <w:rsid w:val="004A0214"/>
    <w:rsid w:val="004A257F"/>
    <w:rsid w:val="004B32F7"/>
    <w:rsid w:val="004B3C08"/>
    <w:rsid w:val="004B5D8F"/>
    <w:rsid w:val="004B60AC"/>
    <w:rsid w:val="004C183A"/>
    <w:rsid w:val="004C23E1"/>
    <w:rsid w:val="004C5BA1"/>
    <w:rsid w:val="004C7002"/>
    <w:rsid w:val="004D7F16"/>
    <w:rsid w:val="004E2493"/>
    <w:rsid w:val="004F3E56"/>
    <w:rsid w:val="004F6787"/>
    <w:rsid w:val="00500BDC"/>
    <w:rsid w:val="00510CEB"/>
    <w:rsid w:val="005129FD"/>
    <w:rsid w:val="00521DAF"/>
    <w:rsid w:val="0052424F"/>
    <w:rsid w:val="005341C1"/>
    <w:rsid w:val="0054511E"/>
    <w:rsid w:val="00545637"/>
    <w:rsid w:val="005509F2"/>
    <w:rsid w:val="0055437D"/>
    <w:rsid w:val="00554EC5"/>
    <w:rsid w:val="00557FB4"/>
    <w:rsid w:val="00560F26"/>
    <w:rsid w:val="005653F0"/>
    <w:rsid w:val="00571839"/>
    <w:rsid w:val="00575885"/>
    <w:rsid w:val="00576E3A"/>
    <w:rsid w:val="00577C40"/>
    <w:rsid w:val="005823FF"/>
    <w:rsid w:val="00585E54"/>
    <w:rsid w:val="00586C0C"/>
    <w:rsid w:val="00590226"/>
    <w:rsid w:val="005974FD"/>
    <w:rsid w:val="005A0D4D"/>
    <w:rsid w:val="005A2DC3"/>
    <w:rsid w:val="005A500C"/>
    <w:rsid w:val="005A5FF3"/>
    <w:rsid w:val="005B6B93"/>
    <w:rsid w:val="005B6E99"/>
    <w:rsid w:val="005C0E6A"/>
    <w:rsid w:val="005C5140"/>
    <w:rsid w:val="005E03F5"/>
    <w:rsid w:val="005E2553"/>
    <w:rsid w:val="005E41D8"/>
    <w:rsid w:val="005E515C"/>
    <w:rsid w:val="005F6A20"/>
    <w:rsid w:val="005F7FD4"/>
    <w:rsid w:val="0060211A"/>
    <w:rsid w:val="0060364A"/>
    <w:rsid w:val="00606192"/>
    <w:rsid w:val="0060789A"/>
    <w:rsid w:val="0061671B"/>
    <w:rsid w:val="00617843"/>
    <w:rsid w:val="006261FE"/>
    <w:rsid w:val="006413E7"/>
    <w:rsid w:val="00643753"/>
    <w:rsid w:val="006520B8"/>
    <w:rsid w:val="0065387E"/>
    <w:rsid w:val="006543AF"/>
    <w:rsid w:val="00656F41"/>
    <w:rsid w:val="0066091C"/>
    <w:rsid w:val="006648B8"/>
    <w:rsid w:val="00670AC5"/>
    <w:rsid w:val="006716D2"/>
    <w:rsid w:val="00674C06"/>
    <w:rsid w:val="0068163D"/>
    <w:rsid w:val="00681725"/>
    <w:rsid w:val="00683EBF"/>
    <w:rsid w:val="00685D52"/>
    <w:rsid w:val="006870A4"/>
    <w:rsid w:val="00692416"/>
    <w:rsid w:val="00694E9F"/>
    <w:rsid w:val="006955C5"/>
    <w:rsid w:val="00696183"/>
    <w:rsid w:val="006964B5"/>
    <w:rsid w:val="006974F7"/>
    <w:rsid w:val="006A24DC"/>
    <w:rsid w:val="006A6800"/>
    <w:rsid w:val="006B1C52"/>
    <w:rsid w:val="006B34ED"/>
    <w:rsid w:val="006B65F7"/>
    <w:rsid w:val="006B72FE"/>
    <w:rsid w:val="006C317C"/>
    <w:rsid w:val="006C6B10"/>
    <w:rsid w:val="006C6C34"/>
    <w:rsid w:val="006C70C2"/>
    <w:rsid w:val="006D79B2"/>
    <w:rsid w:val="006E2FB3"/>
    <w:rsid w:val="006E71CB"/>
    <w:rsid w:val="006F16C9"/>
    <w:rsid w:val="007006DF"/>
    <w:rsid w:val="00701ACC"/>
    <w:rsid w:val="00714B60"/>
    <w:rsid w:val="00725EE9"/>
    <w:rsid w:val="0072734D"/>
    <w:rsid w:val="007316C6"/>
    <w:rsid w:val="00732A6B"/>
    <w:rsid w:val="007359EA"/>
    <w:rsid w:val="007365A9"/>
    <w:rsid w:val="0075124F"/>
    <w:rsid w:val="007556EF"/>
    <w:rsid w:val="00755AE6"/>
    <w:rsid w:val="007609F6"/>
    <w:rsid w:val="007656BF"/>
    <w:rsid w:val="00770D85"/>
    <w:rsid w:val="0077362B"/>
    <w:rsid w:val="00774E00"/>
    <w:rsid w:val="00775E13"/>
    <w:rsid w:val="0077739A"/>
    <w:rsid w:val="00796BDC"/>
    <w:rsid w:val="007A2B83"/>
    <w:rsid w:val="007A2E26"/>
    <w:rsid w:val="007A348A"/>
    <w:rsid w:val="007A59F4"/>
    <w:rsid w:val="007B2FAD"/>
    <w:rsid w:val="007B3EE6"/>
    <w:rsid w:val="007B4C1E"/>
    <w:rsid w:val="007B6C23"/>
    <w:rsid w:val="007C26E6"/>
    <w:rsid w:val="007C40AE"/>
    <w:rsid w:val="007D04E9"/>
    <w:rsid w:val="007D3BE1"/>
    <w:rsid w:val="007E0A7F"/>
    <w:rsid w:val="007E0B73"/>
    <w:rsid w:val="007E4034"/>
    <w:rsid w:val="007E60D8"/>
    <w:rsid w:val="007E6B00"/>
    <w:rsid w:val="007E6CAC"/>
    <w:rsid w:val="007E7EB6"/>
    <w:rsid w:val="007F0B18"/>
    <w:rsid w:val="007F7258"/>
    <w:rsid w:val="007F7592"/>
    <w:rsid w:val="00807495"/>
    <w:rsid w:val="00807D15"/>
    <w:rsid w:val="00810EC6"/>
    <w:rsid w:val="00817DF1"/>
    <w:rsid w:val="00822028"/>
    <w:rsid w:val="008229EB"/>
    <w:rsid w:val="00822F52"/>
    <w:rsid w:val="00824434"/>
    <w:rsid w:val="008304C0"/>
    <w:rsid w:val="00830787"/>
    <w:rsid w:val="00830FC8"/>
    <w:rsid w:val="008353D7"/>
    <w:rsid w:val="00835E06"/>
    <w:rsid w:val="00836263"/>
    <w:rsid w:val="0083648A"/>
    <w:rsid w:val="00836D8A"/>
    <w:rsid w:val="0084013D"/>
    <w:rsid w:val="0084486E"/>
    <w:rsid w:val="008475C1"/>
    <w:rsid w:val="0085170F"/>
    <w:rsid w:val="00854676"/>
    <w:rsid w:val="0086357F"/>
    <w:rsid w:val="00866EA1"/>
    <w:rsid w:val="00867092"/>
    <w:rsid w:val="008677E6"/>
    <w:rsid w:val="008762B3"/>
    <w:rsid w:val="00876841"/>
    <w:rsid w:val="00885A53"/>
    <w:rsid w:val="00892252"/>
    <w:rsid w:val="00892324"/>
    <w:rsid w:val="00894C89"/>
    <w:rsid w:val="008B5608"/>
    <w:rsid w:val="008C162B"/>
    <w:rsid w:val="008C50CA"/>
    <w:rsid w:val="008D5D8C"/>
    <w:rsid w:val="008E0A4E"/>
    <w:rsid w:val="008F1A58"/>
    <w:rsid w:val="008F3CCC"/>
    <w:rsid w:val="008F62C6"/>
    <w:rsid w:val="00907A39"/>
    <w:rsid w:val="00911063"/>
    <w:rsid w:val="00911E31"/>
    <w:rsid w:val="009218AA"/>
    <w:rsid w:val="00930CAA"/>
    <w:rsid w:val="00931204"/>
    <w:rsid w:val="00937F4E"/>
    <w:rsid w:val="00940C00"/>
    <w:rsid w:val="009472CF"/>
    <w:rsid w:val="009477F3"/>
    <w:rsid w:val="00947FAA"/>
    <w:rsid w:val="00951B4E"/>
    <w:rsid w:val="00952944"/>
    <w:rsid w:val="00960623"/>
    <w:rsid w:val="00967E2C"/>
    <w:rsid w:val="0097019A"/>
    <w:rsid w:val="00976865"/>
    <w:rsid w:val="00977CBA"/>
    <w:rsid w:val="00980028"/>
    <w:rsid w:val="00981A88"/>
    <w:rsid w:val="00984BC0"/>
    <w:rsid w:val="00990167"/>
    <w:rsid w:val="00990274"/>
    <w:rsid w:val="00992068"/>
    <w:rsid w:val="00994231"/>
    <w:rsid w:val="00994334"/>
    <w:rsid w:val="00994751"/>
    <w:rsid w:val="00996CAF"/>
    <w:rsid w:val="009A28BC"/>
    <w:rsid w:val="009B005C"/>
    <w:rsid w:val="009B3687"/>
    <w:rsid w:val="009B6E25"/>
    <w:rsid w:val="009C0052"/>
    <w:rsid w:val="009C2060"/>
    <w:rsid w:val="009C525B"/>
    <w:rsid w:val="009D3317"/>
    <w:rsid w:val="009D57CA"/>
    <w:rsid w:val="009D6522"/>
    <w:rsid w:val="009D6D77"/>
    <w:rsid w:val="009E1398"/>
    <w:rsid w:val="009E24B0"/>
    <w:rsid w:val="009E2F3D"/>
    <w:rsid w:val="009E523F"/>
    <w:rsid w:val="009E7752"/>
    <w:rsid w:val="009F1C1A"/>
    <w:rsid w:val="009F3B88"/>
    <w:rsid w:val="009F4530"/>
    <w:rsid w:val="009F65BA"/>
    <w:rsid w:val="00A008DD"/>
    <w:rsid w:val="00A0118A"/>
    <w:rsid w:val="00A0282A"/>
    <w:rsid w:val="00A06F24"/>
    <w:rsid w:val="00A07766"/>
    <w:rsid w:val="00A07D4A"/>
    <w:rsid w:val="00A14CB0"/>
    <w:rsid w:val="00A14CE5"/>
    <w:rsid w:val="00A14F7A"/>
    <w:rsid w:val="00A23134"/>
    <w:rsid w:val="00A247A0"/>
    <w:rsid w:val="00A32236"/>
    <w:rsid w:val="00A32985"/>
    <w:rsid w:val="00A337DB"/>
    <w:rsid w:val="00A3423C"/>
    <w:rsid w:val="00A3666B"/>
    <w:rsid w:val="00A47152"/>
    <w:rsid w:val="00A523EC"/>
    <w:rsid w:val="00A52495"/>
    <w:rsid w:val="00A54975"/>
    <w:rsid w:val="00A571E8"/>
    <w:rsid w:val="00A6798B"/>
    <w:rsid w:val="00A736CD"/>
    <w:rsid w:val="00A748B1"/>
    <w:rsid w:val="00A77835"/>
    <w:rsid w:val="00A800AA"/>
    <w:rsid w:val="00A81240"/>
    <w:rsid w:val="00A913B5"/>
    <w:rsid w:val="00A92706"/>
    <w:rsid w:val="00A94C72"/>
    <w:rsid w:val="00AA6BED"/>
    <w:rsid w:val="00AB712E"/>
    <w:rsid w:val="00AB7DC9"/>
    <w:rsid w:val="00AD04CE"/>
    <w:rsid w:val="00AD1437"/>
    <w:rsid w:val="00AD1E3B"/>
    <w:rsid w:val="00AD2409"/>
    <w:rsid w:val="00AD2DBD"/>
    <w:rsid w:val="00AD314D"/>
    <w:rsid w:val="00AD3B83"/>
    <w:rsid w:val="00AD4953"/>
    <w:rsid w:val="00AD7482"/>
    <w:rsid w:val="00AE0D2F"/>
    <w:rsid w:val="00AE16FE"/>
    <w:rsid w:val="00AE3FA2"/>
    <w:rsid w:val="00AF3184"/>
    <w:rsid w:val="00AF7A4B"/>
    <w:rsid w:val="00B02884"/>
    <w:rsid w:val="00B0343A"/>
    <w:rsid w:val="00B05492"/>
    <w:rsid w:val="00B12681"/>
    <w:rsid w:val="00B13DC5"/>
    <w:rsid w:val="00B21467"/>
    <w:rsid w:val="00B2314B"/>
    <w:rsid w:val="00B25B1D"/>
    <w:rsid w:val="00B31936"/>
    <w:rsid w:val="00B31995"/>
    <w:rsid w:val="00B36D75"/>
    <w:rsid w:val="00B36E1B"/>
    <w:rsid w:val="00B370EF"/>
    <w:rsid w:val="00B41A7F"/>
    <w:rsid w:val="00B4327C"/>
    <w:rsid w:val="00B4353C"/>
    <w:rsid w:val="00B510DF"/>
    <w:rsid w:val="00B519F0"/>
    <w:rsid w:val="00B54478"/>
    <w:rsid w:val="00B57102"/>
    <w:rsid w:val="00B635D0"/>
    <w:rsid w:val="00B66107"/>
    <w:rsid w:val="00B67463"/>
    <w:rsid w:val="00B8498F"/>
    <w:rsid w:val="00B86003"/>
    <w:rsid w:val="00B906E1"/>
    <w:rsid w:val="00BA1ED4"/>
    <w:rsid w:val="00BB25D9"/>
    <w:rsid w:val="00BB7152"/>
    <w:rsid w:val="00BC1C7B"/>
    <w:rsid w:val="00BC511B"/>
    <w:rsid w:val="00BD48FC"/>
    <w:rsid w:val="00BE1CE6"/>
    <w:rsid w:val="00BE2A2F"/>
    <w:rsid w:val="00BE64A0"/>
    <w:rsid w:val="00BE6971"/>
    <w:rsid w:val="00BE7E5E"/>
    <w:rsid w:val="00BF6A19"/>
    <w:rsid w:val="00C02AFC"/>
    <w:rsid w:val="00C030AB"/>
    <w:rsid w:val="00C04C38"/>
    <w:rsid w:val="00C04EB8"/>
    <w:rsid w:val="00C05AE1"/>
    <w:rsid w:val="00C132A7"/>
    <w:rsid w:val="00C16325"/>
    <w:rsid w:val="00C168A4"/>
    <w:rsid w:val="00C23611"/>
    <w:rsid w:val="00C349C3"/>
    <w:rsid w:val="00C34B29"/>
    <w:rsid w:val="00C41022"/>
    <w:rsid w:val="00C5024A"/>
    <w:rsid w:val="00C51A35"/>
    <w:rsid w:val="00C5562A"/>
    <w:rsid w:val="00C5717B"/>
    <w:rsid w:val="00C57BBD"/>
    <w:rsid w:val="00C61D23"/>
    <w:rsid w:val="00C66B7C"/>
    <w:rsid w:val="00C70799"/>
    <w:rsid w:val="00C73F46"/>
    <w:rsid w:val="00C808C3"/>
    <w:rsid w:val="00C81BCD"/>
    <w:rsid w:val="00C84F7D"/>
    <w:rsid w:val="00C86382"/>
    <w:rsid w:val="00C91713"/>
    <w:rsid w:val="00C920B8"/>
    <w:rsid w:val="00C9568E"/>
    <w:rsid w:val="00C96E6C"/>
    <w:rsid w:val="00CA2D69"/>
    <w:rsid w:val="00CB07CC"/>
    <w:rsid w:val="00CB3CA4"/>
    <w:rsid w:val="00CB5255"/>
    <w:rsid w:val="00CC1192"/>
    <w:rsid w:val="00CC5FF7"/>
    <w:rsid w:val="00CC7D7A"/>
    <w:rsid w:val="00CD006C"/>
    <w:rsid w:val="00CD0A4B"/>
    <w:rsid w:val="00CD3C33"/>
    <w:rsid w:val="00CD54CA"/>
    <w:rsid w:val="00CD61A5"/>
    <w:rsid w:val="00CE0BB4"/>
    <w:rsid w:val="00CE5076"/>
    <w:rsid w:val="00CE5DF7"/>
    <w:rsid w:val="00D05E06"/>
    <w:rsid w:val="00D164DF"/>
    <w:rsid w:val="00D20BD3"/>
    <w:rsid w:val="00D21B84"/>
    <w:rsid w:val="00D226B6"/>
    <w:rsid w:val="00D2273A"/>
    <w:rsid w:val="00D237ED"/>
    <w:rsid w:val="00D26F94"/>
    <w:rsid w:val="00D274E2"/>
    <w:rsid w:val="00D4459A"/>
    <w:rsid w:val="00D54538"/>
    <w:rsid w:val="00D72C9D"/>
    <w:rsid w:val="00D72E91"/>
    <w:rsid w:val="00D73882"/>
    <w:rsid w:val="00D8424C"/>
    <w:rsid w:val="00D905A9"/>
    <w:rsid w:val="00D95029"/>
    <w:rsid w:val="00DA32B3"/>
    <w:rsid w:val="00DA722E"/>
    <w:rsid w:val="00DB3EA0"/>
    <w:rsid w:val="00DB6541"/>
    <w:rsid w:val="00DC00A8"/>
    <w:rsid w:val="00DC1E15"/>
    <w:rsid w:val="00DC2AE9"/>
    <w:rsid w:val="00DD3CA2"/>
    <w:rsid w:val="00DD45D1"/>
    <w:rsid w:val="00DD6F22"/>
    <w:rsid w:val="00DE6B34"/>
    <w:rsid w:val="00DF190C"/>
    <w:rsid w:val="00DF1EEE"/>
    <w:rsid w:val="00DF2479"/>
    <w:rsid w:val="00E21BC3"/>
    <w:rsid w:val="00E22858"/>
    <w:rsid w:val="00E22F13"/>
    <w:rsid w:val="00E278D0"/>
    <w:rsid w:val="00E30946"/>
    <w:rsid w:val="00E32771"/>
    <w:rsid w:val="00E32ECA"/>
    <w:rsid w:val="00E37BF1"/>
    <w:rsid w:val="00E41A6A"/>
    <w:rsid w:val="00E4273D"/>
    <w:rsid w:val="00E43EE4"/>
    <w:rsid w:val="00E44FAB"/>
    <w:rsid w:val="00E45D97"/>
    <w:rsid w:val="00E5665B"/>
    <w:rsid w:val="00E66CDE"/>
    <w:rsid w:val="00E764BF"/>
    <w:rsid w:val="00E774A4"/>
    <w:rsid w:val="00E87543"/>
    <w:rsid w:val="00E9199F"/>
    <w:rsid w:val="00E952A0"/>
    <w:rsid w:val="00EA0CE1"/>
    <w:rsid w:val="00EA0D95"/>
    <w:rsid w:val="00EA2412"/>
    <w:rsid w:val="00EA47BF"/>
    <w:rsid w:val="00EB2D60"/>
    <w:rsid w:val="00EB64A2"/>
    <w:rsid w:val="00EB68C8"/>
    <w:rsid w:val="00EB6E6C"/>
    <w:rsid w:val="00EC07CE"/>
    <w:rsid w:val="00EC3C8E"/>
    <w:rsid w:val="00EC47B4"/>
    <w:rsid w:val="00ED5B5F"/>
    <w:rsid w:val="00ED6FBE"/>
    <w:rsid w:val="00EE2335"/>
    <w:rsid w:val="00EE5076"/>
    <w:rsid w:val="00EE54A9"/>
    <w:rsid w:val="00EF1629"/>
    <w:rsid w:val="00EF6BCB"/>
    <w:rsid w:val="00F013CA"/>
    <w:rsid w:val="00F0535A"/>
    <w:rsid w:val="00F15EC7"/>
    <w:rsid w:val="00F16F5F"/>
    <w:rsid w:val="00F21AF9"/>
    <w:rsid w:val="00F227DB"/>
    <w:rsid w:val="00F23060"/>
    <w:rsid w:val="00F34B6D"/>
    <w:rsid w:val="00F376ED"/>
    <w:rsid w:val="00F41F10"/>
    <w:rsid w:val="00F42395"/>
    <w:rsid w:val="00F4569C"/>
    <w:rsid w:val="00F53584"/>
    <w:rsid w:val="00F54CC7"/>
    <w:rsid w:val="00F55F53"/>
    <w:rsid w:val="00F614B8"/>
    <w:rsid w:val="00F66874"/>
    <w:rsid w:val="00F67AE4"/>
    <w:rsid w:val="00F71C73"/>
    <w:rsid w:val="00F74E39"/>
    <w:rsid w:val="00F85E1A"/>
    <w:rsid w:val="00F85F09"/>
    <w:rsid w:val="00F86349"/>
    <w:rsid w:val="00F87B1B"/>
    <w:rsid w:val="00F97F22"/>
    <w:rsid w:val="00FA13D1"/>
    <w:rsid w:val="00FB7B14"/>
    <w:rsid w:val="00FD1A11"/>
    <w:rsid w:val="00FD3D0B"/>
    <w:rsid w:val="00FD501E"/>
    <w:rsid w:val="00FD6A1D"/>
    <w:rsid w:val="00FE0BC1"/>
    <w:rsid w:val="00FE1FE2"/>
    <w:rsid w:val="00FE6E1F"/>
    <w:rsid w:val="00FE73F3"/>
    <w:rsid w:val="00FF69F0"/>
    <w:rsid w:val="019C03CF"/>
    <w:rsid w:val="03F1203E"/>
    <w:rsid w:val="04403AFE"/>
    <w:rsid w:val="074D2D29"/>
    <w:rsid w:val="094524FF"/>
    <w:rsid w:val="09817546"/>
    <w:rsid w:val="0ADE6155"/>
    <w:rsid w:val="0AFA7002"/>
    <w:rsid w:val="0B4C0CCC"/>
    <w:rsid w:val="0D3967D7"/>
    <w:rsid w:val="0D5D783D"/>
    <w:rsid w:val="11AB600B"/>
    <w:rsid w:val="11EF3F68"/>
    <w:rsid w:val="13AE085B"/>
    <w:rsid w:val="13DC4BCC"/>
    <w:rsid w:val="13DD5689"/>
    <w:rsid w:val="153D430C"/>
    <w:rsid w:val="1B904FB6"/>
    <w:rsid w:val="1F607374"/>
    <w:rsid w:val="224805CD"/>
    <w:rsid w:val="22A24E69"/>
    <w:rsid w:val="258015BE"/>
    <w:rsid w:val="28B5250B"/>
    <w:rsid w:val="29831312"/>
    <w:rsid w:val="2D397430"/>
    <w:rsid w:val="2D6E6A76"/>
    <w:rsid w:val="2FFE4989"/>
    <w:rsid w:val="312779B3"/>
    <w:rsid w:val="348113EA"/>
    <w:rsid w:val="34EC6A41"/>
    <w:rsid w:val="35D94F72"/>
    <w:rsid w:val="35E7310A"/>
    <w:rsid w:val="36775A8E"/>
    <w:rsid w:val="3A03112D"/>
    <w:rsid w:val="3BC14218"/>
    <w:rsid w:val="3E404FCA"/>
    <w:rsid w:val="3E4807E1"/>
    <w:rsid w:val="3E5E09E7"/>
    <w:rsid w:val="3FFEEAF3"/>
    <w:rsid w:val="406D0579"/>
    <w:rsid w:val="41834389"/>
    <w:rsid w:val="44537AF7"/>
    <w:rsid w:val="448A4217"/>
    <w:rsid w:val="46DF2BD7"/>
    <w:rsid w:val="477C39EF"/>
    <w:rsid w:val="479D7445"/>
    <w:rsid w:val="496163E1"/>
    <w:rsid w:val="4C1031D9"/>
    <w:rsid w:val="4CEF6FC4"/>
    <w:rsid w:val="4F097917"/>
    <w:rsid w:val="513D08D8"/>
    <w:rsid w:val="52DF02FB"/>
    <w:rsid w:val="52E23187"/>
    <w:rsid w:val="53AD3B54"/>
    <w:rsid w:val="545503CD"/>
    <w:rsid w:val="550F45CD"/>
    <w:rsid w:val="558867F2"/>
    <w:rsid w:val="56BA37D7"/>
    <w:rsid w:val="584D7CAF"/>
    <w:rsid w:val="586572FD"/>
    <w:rsid w:val="590D59E6"/>
    <w:rsid w:val="59FA434B"/>
    <w:rsid w:val="5BA619CA"/>
    <w:rsid w:val="5F14140D"/>
    <w:rsid w:val="5F2A6EC8"/>
    <w:rsid w:val="61FA38F8"/>
    <w:rsid w:val="63AA5E6C"/>
    <w:rsid w:val="67080599"/>
    <w:rsid w:val="672509BC"/>
    <w:rsid w:val="680D76E0"/>
    <w:rsid w:val="68731472"/>
    <w:rsid w:val="68A550A3"/>
    <w:rsid w:val="692D6DF3"/>
    <w:rsid w:val="69525F9F"/>
    <w:rsid w:val="69B65845"/>
    <w:rsid w:val="6B452B0C"/>
    <w:rsid w:val="6B453BC4"/>
    <w:rsid w:val="6BEA6E9B"/>
    <w:rsid w:val="6DD44612"/>
    <w:rsid w:val="6EBB54AA"/>
    <w:rsid w:val="6F6F2B26"/>
    <w:rsid w:val="704F758C"/>
    <w:rsid w:val="70C71E93"/>
    <w:rsid w:val="70D044BF"/>
    <w:rsid w:val="71D04E4A"/>
    <w:rsid w:val="71F87FCD"/>
    <w:rsid w:val="723054DF"/>
    <w:rsid w:val="72D54237"/>
    <w:rsid w:val="73B06908"/>
    <w:rsid w:val="757A64BA"/>
    <w:rsid w:val="75BB90A8"/>
    <w:rsid w:val="77D40C9B"/>
    <w:rsid w:val="783345DB"/>
    <w:rsid w:val="79364C2C"/>
    <w:rsid w:val="79C76AFC"/>
    <w:rsid w:val="7EEB3ED1"/>
    <w:rsid w:val="B7FF2917"/>
    <w:rsid w:val="E673DBF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opacity="0f" focussize="0,0"/>
      <v:stroke color="#FFFFF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25"/>
    <w:qFormat/>
    <w:uiPriority w:val="0"/>
    <w:pPr>
      <w:keepNext/>
      <w:keepLines/>
      <w:spacing w:before="260" w:after="260" w:line="416" w:lineRule="auto"/>
      <w:outlineLvl w:val="2"/>
    </w:pPr>
    <w:rPr>
      <w:b/>
      <w:bCs/>
      <w:sz w:val="32"/>
      <w:szCs w:val="32"/>
    </w:rPr>
  </w:style>
  <w:style w:type="character" w:default="1" w:styleId="18">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cs="Times New Roman"/>
      <w:sz w:val="20"/>
      <w:szCs w:val="20"/>
    </w:rPr>
  </w:style>
  <w:style w:type="paragraph" w:styleId="6">
    <w:name w:val="annotation text"/>
    <w:basedOn w:val="1"/>
    <w:link w:val="26"/>
    <w:uiPriority w:val="0"/>
    <w:pPr>
      <w:jc w:val="left"/>
    </w:pPr>
  </w:style>
  <w:style w:type="paragraph" w:styleId="7">
    <w:name w:val="toc 3"/>
    <w:basedOn w:val="1"/>
    <w:next w:val="1"/>
    <w:uiPriority w:val="39"/>
    <w:pPr>
      <w:ind w:left="200" w:leftChars="200"/>
    </w:pPr>
  </w:style>
  <w:style w:type="paragraph" w:styleId="8">
    <w:name w:val="Balloon Text"/>
    <w:basedOn w:val="1"/>
    <w:link w:val="27"/>
    <w:uiPriority w:val="0"/>
    <w:rPr>
      <w:sz w:val="18"/>
      <w:szCs w:val="18"/>
    </w:rPr>
  </w:style>
  <w:style w:type="paragraph" w:styleId="9">
    <w:name w:val="footer"/>
    <w:basedOn w:val="1"/>
    <w:link w:val="28"/>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Subtitle"/>
    <w:basedOn w:val="1"/>
    <w:next w:val="1"/>
    <w:link w:val="29"/>
    <w:qFormat/>
    <w:uiPriority w:val="0"/>
    <w:pPr>
      <w:spacing w:before="240" w:after="60" w:line="312" w:lineRule="auto"/>
      <w:jc w:val="center"/>
      <w:outlineLvl w:val="1"/>
    </w:pPr>
    <w:rPr>
      <w:rFonts w:ascii="等线 Light" w:hAnsi="等线 Light" w:cs="Times New Roman"/>
      <w:b/>
      <w:bCs/>
      <w:kern w:val="28"/>
      <w:sz w:val="32"/>
      <w:szCs w:val="32"/>
    </w:rPr>
  </w:style>
  <w:style w:type="paragraph" w:styleId="13">
    <w:name w:val="toc 2"/>
    <w:basedOn w:val="1"/>
    <w:next w:val="1"/>
    <w:qFormat/>
    <w:uiPriority w:val="39"/>
    <w:pPr>
      <w:ind w:left="200" w:leftChars="200"/>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6"/>
    <w:next w:val="6"/>
    <w:link w:val="30"/>
    <w:qFormat/>
    <w:uiPriority w:val="0"/>
    <w:rPr>
      <w:b/>
      <w:bCs/>
    </w:rPr>
  </w:style>
  <w:style w:type="table" w:styleId="17">
    <w:name w:val="Table Grid"/>
    <w:basedOn w:val="16"/>
    <w:qFormat/>
    <w:uiPriority w:val="0"/>
    <w:rPr>
      <w:rFonts w:ascii="Calibri" w:hAnsi="Calibri"/>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qFormat/>
    <w:uiPriority w:val="22"/>
    <w:rPr>
      <w:b/>
      <w:bCs/>
    </w:rPr>
  </w:style>
  <w:style w:type="character" w:styleId="20">
    <w:name w:val="page number"/>
    <w:basedOn w:val="18"/>
    <w:qFormat/>
    <w:uiPriority w:val="0"/>
  </w:style>
  <w:style w:type="character" w:styleId="21">
    <w:name w:val="Hyperlink"/>
    <w:qFormat/>
    <w:uiPriority w:val="99"/>
    <w:rPr>
      <w:color w:val="0000FF"/>
      <w:u w:val="single"/>
    </w:rPr>
  </w:style>
  <w:style w:type="character" w:styleId="22">
    <w:name w:val="annotation reference"/>
    <w:qFormat/>
    <w:uiPriority w:val="0"/>
    <w:rPr>
      <w:sz w:val="21"/>
      <w:szCs w:val="21"/>
    </w:rPr>
  </w:style>
  <w:style w:type="character" w:customStyle="1" w:styleId="23">
    <w:name w:val="标题 1 字符"/>
    <w:link w:val="2"/>
    <w:qFormat/>
    <w:locked/>
    <w:uiPriority w:val="0"/>
    <w:rPr>
      <w:rFonts w:ascii="Calibri" w:hAnsi="Calibri" w:eastAsia="宋体"/>
      <w:b/>
      <w:bCs/>
      <w:kern w:val="44"/>
      <w:sz w:val="44"/>
      <w:szCs w:val="44"/>
      <w:lang w:val="en-US" w:eastAsia="zh-CN" w:bidi="ar-SA"/>
    </w:rPr>
  </w:style>
  <w:style w:type="character" w:customStyle="1" w:styleId="24">
    <w:name w:val="标题 2 字符"/>
    <w:link w:val="3"/>
    <w:qFormat/>
    <w:locked/>
    <w:uiPriority w:val="0"/>
    <w:rPr>
      <w:rFonts w:ascii="Cambria" w:hAnsi="Cambria" w:eastAsia="宋体"/>
      <w:b/>
      <w:bCs/>
      <w:kern w:val="2"/>
      <w:sz w:val="32"/>
      <w:szCs w:val="32"/>
      <w:lang w:val="en-US" w:eastAsia="zh-CN" w:bidi="ar-SA"/>
    </w:rPr>
  </w:style>
  <w:style w:type="character" w:customStyle="1" w:styleId="25">
    <w:name w:val="标题 3 字符"/>
    <w:link w:val="4"/>
    <w:qFormat/>
    <w:locked/>
    <w:uiPriority w:val="0"/>
    <w:rPr>
      <w:rFonts w:ascii="Calibri" w:hAnsi="Calibri" w:eastAsia="宋体"/>
      <w:b/>
      <w:bCs/>
      <w:kern w:val="2"/>
      <w:sz w:val="32"/>
      <w:szCs w:val="32"/>
      <w:lang w:val="en-US" w:eastAsia="zh-CN" w:bidi="ar-SA"/>
    </w:rPr>
  </w:style>
  <w:style w:type="character" w:customStyle="1" w:styleId="26">
    <w:name w:val="批注文字 字符"/>
    <w:link w:val="6"/>
    <w:qFormat/>
    <w:uiPriority w:val="0"/>
    <w:rPr>
      <w:rFonts w:ascii="Calibri" w:hAnsi="Calibri"/>
      <w:kern w:val="2"/>
      <w:sz w:val="21"/>
      <w:szCs w:val="22"/>
    </w:rPr>
  </w:style>
  <w:style w:type="character" w:customStyle="1" w:styleId="27">
    <w:name w:val="批注框文本 字符"/>
    <w:link w:val="8"/>
    <w:qFormat/>
    <w:uiPriority w:val="0"/>
    <w:rPr>
      <w:rFonts w:ascii="Calibri" w:hAnsi="Calibri"/>
      <w:kern w:val="2"/>
      <w:sz w:val="18"/>
      <w:szCs w:val="18"/>
    </w:rPr>
  </w:style>
  <w:style w:type="character" w:customStyle="1" w:styleId="28">
    <w:name w:val="页脚 字符"/>
    <w:link w:val="9"/>
    <w:qFormat/>
    <w:uiPriority w:val="99"/>
    <w:rPr>
      <w:rFonts w:ascii="Calibri" w:hAnsi="Calibri"/>
      <w:kern w:val="2"/>
      <w:sz w:val="18"/>
      <w:szCs w:val="18"/>
    </w:rPr>
  </w:style>
  <w:style w:type="character" w:customStyle="1" w:styleId="29">
    <w:name w:val="副标题 字符"/>
    <w:link w:val="12"/>
    <w:qFormat/>
    <w:uiPriority w:val="0"/>
    <w:rPr>
      <w:rFonts w:ascii="等线 Light" w:hAnsi="等线 Light" w:cs="Times New Roman"/>
      <w:b/>
      <w:bCs/>
      <w:kern w:val="28"/>
      <w:sz w:val="32"/>
      <w:szCs w:val="32"/>
    </w:rPr>
  </w:style>
  <w:style w:type="character" w:customStyle="1" w:styleId="30">
    <w:name w:val="批注主题 字符"/>
    <w:link w:val="15"/>
    <w:qFormat/>
    <w:uiPriority w:val="0"/>
    <w:rPr>
      <w:rFonts w:ascii="Calibri" w:hAnsi="Calibri"/>
      <w:b/>
      <w:bCs/>
      <w:kern w:val="2"/>
      <w:sz w:val="21"/>
      <w:szCs w:val="22"/>
    </w:rPr>
  </w:style>
  <w:style w:type="character" w:customStyle="1" w:styleId="31">
    <w:name w:val="段 Char"/>
    <w:link w:val="32"/>
    <w:qFormat/>
    <w:locked/>
    <w:uiPriority w:val="99"/>
    <w:rPr>
      <w:rFonts w:ascii="宋体"/>
      <w:kern w:val="2"/>
      <w:sz w:val="21"/>
      <w:szCs w:val="22"/>
      <w:lang w:bidi="ar-SA"/>
    </w:rPr>
  </w:style>
  <w:style w:type="paragraph" w:customStyle="1" w:styleId="32">
    <w:name w:val="段"/>
    <w:link w:val="31"/>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bidi="ar-SA"/>
    </w:rPr>
  </w:style>
  <w:style w:type="paragraph" w:customStyle="1" w:styleId="33">
    <w:name w:val="封面标准号2"/>
    <w:qFormat/>
    <w:uiPriority w:val="99"/>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34">
    <w:name w:val="封面标准名称"/>
    <w:qFormat/>
    <w:uiPriority w:val="99"/>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szCs w:val="22"/>
      <w:lang w:val="en-US" w:eastAsia="zh-CN" w:bidi="ar-SA"/>
    </w:rPr>
  </w:style>
  <w:style w:type="paragraph" w:customStyle="1" w:styleId="35">
    <w:name w:val="_Style 34"/>
    <w:basedOn w:val="2"/>
    <w:next w:val="1"/>
    <w:unhideWhenUsed/>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2218</Words>
  <Characters>13155</Characters>
  <Lines>44</Lines>
  <Paragraphs>12</Paragraphs>
  <TotalTime>0</TotalTime>
  <ScaleCrop>false</ScaleCrop>
  <LinksUpToDate>false</LinksUpToDate>
  <CharactersWithSpaces>15178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2022-04-15T15:07:00Z</dcterms:created>
  <dc:creator>Administrator</dc:creator>
  <cp:lastModifiedBy>小牛同学</cp:lastModifiedBy>
  <cp:lastPrinted>2021-12-15T16:53:00Z</cp:lastPrinted>
  <dcterms:modified xsi:type="dcterms:W3CDTF">2026-09-15T06:42:09Z</dcterms:modified>
  <dc:title>FOD300开放式激光甲烷遥测仪</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eyJoZGlkIjoiNjIzMjlhNjFkMTlkMWMzMDk2MTYzZGJiNGZiNzNiY2MiLCJ1c2VySWQiOiIxNTQ4OTQ1OTE5In0=</vt:lpwstr>
  </property>
  <property fmtid="{D5CDD505-2E9C-101B-9397-08002B2CF9AE}" pid="4" name="ICV">
    <vt:lpwstr>B6FDF494C3ED4C2E9399D74D6862D3FE_13</vt:lpwstr>
  </property>
</Properties>
</file>