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D926C">
      <w:pPr>
        <w:keepNext w:val="0"/>
        <w:keepLines w:val="0"/>
        <w:widowControl/>
        <w:suppressLineNumbers w:val="0"/>
        <w:jc w:val="left"/>
        <w:rPr>
          <w:rFonts w:hint="default" w:ascii="Times New Roman" w:hAnsi="Times New Roman" w:eastAsia="宋体" w:cs="Times New Roman"/>
          <w:kern w:val="0"/>
          <w:sz w:val="48"/>
          <w:szCs w:val="48"/>
          <w:lang w:val="en-US" w:eastAsia="zh-CN" w:bidi="ar"/>
        </w:rPr>
      </w:pPr>
      <w:bookmarkStart w:id="16" w:name="_GoBack"/>
      <w:bookmarkEnd w:id="16"/>
    </w:p>
    <w:p w14:paraId="6FC5BC53">
      <w:pPr>
        <w:keepNext w:val="0"/>
        <w:keepLines w:val="0"/>
        <w:widowControl/>
        <w:suppressLineNumbers w:val="0"/>
        <w:ind w:left="960" w:hanging="960" w:hangingChars="200"/>
        <w:jc w:val="left"/>
        <w:rPr>
          <w:rFonts w:hint="default" w:ascii="Times New Roman" w:hAnsi="Times New Roman" w:cs="Times New Roman"/>
          <w:sz w:val="48"/>
          <w:szCs w:val="48"/>
        </w:rPr>
      </w:pPr>
      <w:r>
        <w:rPr>
          <w:rFonts w:hint="eastAsia" w:ascii="Times New Roman" w:hAnsi="Times New Roman" w:eastAsia="宋体" w:cs="Times New Roman"/>
          <w:kern w:val="0"/>
          <w:sz w:val="48"/>
          <w:szCs w:val="48"/>
          <w:lang w:val="en-US" w:eastAsia="zh-CN" w:bidi="ar"/>
        </w:rPr>
        <w:t>Instrumento detector de gas portátil con alarma G40</w:t>
      </w:r>
    </w:p>
    <w:p w14:paraId="5DDB93D6">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rPr>
      </w:pPr>
    </w:p>
    <w:p w14:paraId="0092A53E">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lang w:eastAsia="zh-CN"/>
        </w:rPr>
      </w:pPr>
      <w:r>
        <w:rPr>
          <w:rFonts w:hint="eastAsia" w:ascii="Times New Roman" w:hAnsi="Times New Roman" w:eastAsia="黑体" w:cs="Times New Roman"/>
          <w:color w:val="000000"/>
          <w:spacing w:val="20"/>
          <w:kern w:val="2"/>
          <w:sz w:val="52"/>
          <w:szCs w:val="52"/>
          <w:lang w:val="en-US" w:eastAsia="zh-CN" w:bidi="ar-SA"/>
        </w:rPr>
        <w:t>G40</w:t>
      </w:r>
    </w:p>
    <w:p w14:paraId="752591A0">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rPr>
      </w:pPr>
    </w:p>
    <w:p w14:paraId="5F68D451">
      <w:pPr>
        <w:keepNext w:val="0"/>
        <w:keepLines w:val="0"/>
        <w:widowControl/>
        <w:suppressLineNumbers w:val="0"/>
        <w:ind w:firstLine="1600" w:firstLineChars="500"/>
        <w:jc w:val="left"/>
        <w:rPr>
          <w:rFonts w:hint="default" w:ascii="Times New Roman" w:hAnsi="Times New Roman" w:cs="Times New Roman"/>
          <w:sz w:val="32"/>
          <w:szCs w:val="32"/>
        </w:rPr>
      </w:pPr>
      <w:r>
        <w:rPr>
          <w:rFonts w:hint="eastAsia" w:ascii="Times New Roman" w:hAnsi="Times New Roman" w:eastAsia="宋体" w:cs="Times New Roman"/>
          <w:kern w:val="0"/>
          <w:sz w:val="32"/>
          <w:szCs w:val="32"/>
          <w:lang w:val="en-US" w:eastAsia="zh-CN" w:bidi="ar"/>
        </w:rPr>
        <w:t>Instrucciones de funcionamiento</w:t>
      </w:r>
    </w:p>
    <w:p w14:paraId="6638AB0F">
      <w:pPr>
        <w:pageBreakBefore w:val="0"/>
        <w:kinsoku/>
        <w:wordWrap/>
        <w:overflowPunct/>
        <w:topLinePunct w:val="0"/>
        <w:bidi w:val="0"/>
        <w:textAlignment w:val="center"/>
        <w:outlineLvl w:val="9"/>
        <w:rPr>
          <w:b/>
          <w:color w:val="000000"/>
          <w:szCs w:val="21"/>
        </w:rPr>
      </w:pPr>
    </w:p>
    <w:p w14:paraId="029BE3D9">
      <w:pPr>
        <w:pageBreakBefore w:val="0"/>
        <w:kinsoku/>
        <w:wordWrap/>
        <w:overflowPunct/>
        <w:topLinePunct w:val="0"/>
        <w:bidi w:val="0"/>
        <w:textAlignment w:val="center"/>
        <w:outlineLvl w:val="9"/>
        <w:rPr>
          <w:b/>
          <w:color w:val="000000"/>
          <w:szCs w:val="21"/>
        </w:rPr>
      </w:pPr>
    </w:p>
    <w:p w14:paraId="0CA3ED65">
      <w:pPr>
        <w:pageBreakBefore w:val="0"/>
        <w:kinsoku/>
        <w:wordWrap/>
        <w:overflowPunct/>
        <w:topLinePunct w:val="0"/>
        <w:bidi w:val="0"/>
        <w:textAlignment w:val="center"/>
        <w:outlineLvl w:val="9"/>
        <w:rPr>
          <w:b/>
          <w:color w:val="000000"/>
          <w:szCs w:val="21"/>
        </w:rPr>
      </w:pPr>
    </w:p>
    <w:p w14:paraId="61CB6C53">
      <w:pPr>
        <w:pageBreakBefore w:val="0"/>
        <w:kinsoku/>
        <w:wordWrap/>
        <w:overflowPunct/>
        <w:topLinePunct w:val="0"/>
        <w:bidi w:val="0"/>
        <w:textAlignment w:val="center"/>
        <w:outlineLvl w:val="9"/>
        <w:rPr>
          <w:b/>
          <w:color w:val="000000"/>
          <w:szCs w:val="21"/>
        </w:rPr>
      </w:pPr>
    </w:p>
    <w:p w14:paraId="37AB2187">
      <w:pPr>
        <w:pageBreakBefore w:val="0"/>
        <w:kinsoku/>
        <w:wordWrap/>
        <w:overflowPunct/>
        <w:topLinePunct w:val="0"/>
        <w:autoSpaceDE w:val="0"/>
        <w:autoSpaceDN w:val="0"/>
        <w:bidi w:val="0"/>
        <w:adjustRightInd w:val="0"/>
        <w:ind w:right="778"/>
        <w:textAlignment w:val="center"/>
        <w:outlineLvl w:val="9"/>
        <w:rPr>
          <w:b/>
          <w:color w:val="000000"/>
          <w:szCs w:val="21"/>
        </w:rPr>
      </w:pPr>
    </w:p>
    <w:p w14:paraId="4B2E7422">
      <w:pPr>
        <w:pageBreakBefore w:val="0"/>
        <w:kinsoku/>
        <w:wordWrap/>
        <w:overflowPunct/>
        <w:topLinePunct w:val="0"/>
        <w:autoSpaceDE w:val="0"/>
        <w:autoSpaceDN w:val="0"/>
        <w:bidi w:val="0"/>
        <w:adjustRightInd w:val="0"/>
        <w:ind w:right="778"/>
        <w:textAlignment w:val="center"/>
        <w:outlineLvl w:val="9"/>
        <w:rPr>
          <w:b/>
          <w:color w:val="000000"/>
          <w:szCs w:val="21"/>
        </w:rPr>
      </w:pPr>
    </w:p>
    <w:p w14:paraId="63BAAC66">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692D6946">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0F85027E">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525F485B">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10715C27">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544CC652">
      <w:pPr>
        <w:keepNext w:val="0"/>
        <w:keepLines w:val="0"/>
        <w:widowControl/>
        <w:suppressLineNumbers w:val="0"/>
        <w:jc w:val="left"/>
        <w:rPr>
          <w:rFonts w:hint="default" w:ascii="Times New Roman" w:hAnsi="Times New Roman" w:eastAsia="宋体" w:cs="Times New Roman"/>
          <w:kern w:val="0"/>
          <w:sz w:val="32"/>
          <w:szCs w:val="32"/>
          <w:lang w:val="en-US" w:eastAsia="zh-CN" w:bidi="ar"/>
        </w:rPr>
      </w:pPr>
      <w:r>
        <w:rPr>
          <w:rFonts w:hint="eastAsia" w:ascii="Times New Roman" w:hAnsi="Times New Roman" w:eastAsia="宋体" w:cs="Times New Roman"/>
          <w:kern w:val="0"/>
          <w:sz w:val="32"/>
          <w:szCs w:val="32"/>
          <w:lang w:val="en-US" w:eastAsia="zh-CN" w:bidi="ar"/>
        </w:rPr>
        <w:t>Henan Otywell Electronic Technology Co., Ltd.</w:t>
      </w:r>
    </w:p>
    <w:p w14:paraId="3283F864">
      <w:pPr>
        <w:keepNext w:val="0"/>
        <w:keepLines w:val="0"/>
        <w:widowControl/>
        <w:suppressLineNumbers w:val="0"/>
        <w:jc w:val="left"/>
        <w:rPr>
          <w:rFonts w:hint="default" w:ascii="Times New Roman Regular" w:hAnsi="Times New Roman Regular" w:cs="Times New Roman Regular"/>
        </w:rPr>
      </w:pPr>
      <w:r>
        <w:rPr>
          <w:rFonts w:hint="eastAsia" w:ascii="Times New Roman" w:hAnsi="Times New Roman Regular" w:eastAsia="宋体" w:cs="Times New Roman Regular"/>
          <w:kern w:val="0"/>
          <w:sz w:val="24"/>
          <w:szCs w:val="24"/>
          <w:lang w:val="en-US" w:eastAsia="zh-CN" w:bidi="ar"/>
        </w:rPr>
        <w:t>Empresa certificada con el Sistema de Gestión de Calidad ISO9001</w:t>
      </w:r>
    </w:p>
    <w:p w14:paraId="058F59AA">
      <w:pPr>
        <w:pageBreakBefore w:val="0"/>
        <w:kinsoku/>
        <w:wordWrap/>
        <w:overflowPunct/>
        <w:topLinePunct w:val="0"/>
        <w:bidi w:val="0"/>
        <w:textAlignment w:val="center"/>
        <w:outlineLvl w:val="9"/>
        <w:rPr>
          <w:rFonts w:hint="eastAsia" w:ascii="仿宋_GB2312" w:eastAsia="仿宋_GB2312"/>
          <w:color w:val="000000"/>
          <w:sz w:val="18"/>
          <w:szCs w:val="18"/>
        </w:rPr>
      </w:pPr>
      <w:r>
        <w:rPr>
          <w:rFonts w:hint="eastAsia" w:ascii="仿宋_GB2312" w:eastAsia="仿宋_GB2312"/>
          <w:color w:val="000000"/>
          <w:sz w:val="18"/>
          <w:szCs w:val="18"/>
        </w:rPr>
        <w:br w:type="page"/>
      </w:r>
    </w:p>
    <w:p w14:paraId="073BA3A9">
      <w:pPr>
        <w:pageBreakBefore w:val="0"/>
        <w:kinsoku/>
        <w:wordWrap/>
        <w:overflowPunct/>
        <w:topLinePunct w:val="0"/>
        <w:bidi w:val="0"/>
        <w:snapToGrid w:val="0"/>
        <w:spacing w:line="276" w:lineRule="auto"/>
        <w:ind w:firstLine="400" w:firstLineChars="200"/>
        <w:textAlignment w:val="center"/>
        <w:outlineLvl w:val="9"/>
        <w:rPr>
          <w:rFonts w:hint="eastAsia" w:ascii="仿宋_GB2312" w:eastAsia="仿宋_GB2312"/>
          <w:color w:val="000000"/>
          <w:sz w:val="20"/>
          <w:szCs w:val="20"/>
        </w:rPr>
      </w:pPr>
    </w:p>
    <w:p w14:paraId="12DAB42C">
      <w:pPr>
        <w:pageBreakBefore w:val="0"/>
        <w:kinsoku/>
        <w:wordWrap/>
        <w:overflowPunct/>
        <w:topLinePunct w:val="0"/>
        <w:bidi w:val="0"/>
        <w:snapToGrid w:val="0"/>
        <w:spacing w:line="276" w:lineRule="auto"/>
        <w:ind w:firstLine="400" w:firstLineChars="200"/>
        <w:textAlignment w:val="center"/>
        <w:outlineLvl w:val="9"/>
        <w:rPr>
          <w:rFonts w:hint="eastAsia" w:ascii="仿宋_GB2312" w:eastAsia="仿宋_GB2312"/>
          <w:color w:val="000000"/>
          <w:sz w:val="20"/>
          <w:szCs w:val="20"/>
        </w:rPr>
      </w:pPr>
    </w:p>
    <w:p w14:paraId="6078790B">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Gracias por utilizar la serie de productos de Henan Otywell Electronic Technology Co., Ltd. Lea atentamente este manual antes de utilizar el producto y siga los procedimientos de funcionamiento correspondientes que se indican. Esto le permitirá disfrutar plenamente de los servicios que ofrecemos y evitar daños al dispositivo u otros accidentes provocados por un manejo incorrecto.</w:t>
      </w:r>
    </w:p>
    <w:p w14:paraId="4C0F3AF2">
      <w:pPr>
        <w:pageBreakBefore w:val="0"/>
        <w:kinsoku/>
        <w:wordWrap/>
        <w:overflowPunct/>
        <w:topLinePunct w:val="0"/>
        <w:bidi w:val="0"/>
        <w:snapToGrid w:val="0"/>
        <w:spacing w:line="276" w:lineRule="auto"/>
        <w:ind w:firstLine="480" w:firstLineChars="200"/>
        <w:textAlignment w:val="center"/>
        <w:outlineLvl w:val="9"/>
        <w:rPr>
          <w:rFonts w:hint="default" w:ascii="Times New Roman Regular" w:hAnsi="Times New Roman Regular" w:eastAsia="仿宋_GB2312" w:cs="Times New Roman Regular"/>
          <w:color w:val="000000"/>
          <w:sz w:val="24"/>
          <w:szCs w:val="24"/>
        </w:rPr>
      </w:pPr>
    </w:p>
    <w:p w14:paraId="3F04A664">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Conserve este manual adecuadamente para poder consultarlo y recibir asistencia fácilmente siempre que lo necesite en el futuro.</w:t>
      </w:r>
    </w:p>
    <w:p w14:paraId="624D52CA">
      <w:pPr>
        <w:pageBreakBefore w:val="0"/>
        <w:kinsoku/>
        <w:wordWrap/>
        <w:overflowPunct/>
        <w:topLinePunct w:val="0"/>
        <w:bidi w:val="0"/>
        <w:snapToGrid w:val="0"/>
        <w:spacing w:line="276" w:lineRule="auto"/>
        <w:textAlignment w:val="center"/>
        <w:outlineLvl w:val="9"/>
        <w:rPr>
          <w:rFonts w:hint="default" w:ascii="Times New Roman Regular" w:hAnsi="Times New Roman Regular" w:eastAsia="仿宋_GB2312" w:cs="Times New Roman Regular"/>
          <w:color w:val="000000"/>
          <w:sz w:val="24"/>
          <w:szCs w:val="24"/>
        </w:rPr>
      </w:pPr>
    </w:p>
    <w:p w14:paraId="4E434606">
      <w:pPr>
        <w:pageBreakBefore w:val="0"/>
        <w:kinsoku/>
        <w:wordWrap/>
        <w:overflowPunct/>
        <w:topLinePunct w:val="0"/>
        <w:bidi w:val="0"/>
        <w:snapToGrid w:val="0"/>
        <w:spacing w:line="276" w:lineRule="auto"/>
        <w:textAlignment w:val="center"/>
        <w:outlineLvl w:val="9"/>
        <w:rPr>
          <w:rFonts w:hint="eastAsia" w:ascii="Times New Roman Regular" w:hAnsi="Times New Roman Regular" w:eastAsia="仿宋_GB2312" w:cs="Times New Roman Regular"/>
          <w:b/>
          <w:bCs/>
          <w:color w:val="000000"/>
          <w:sz w:val="24"/>
          <w:szCs w:val="24"/>
          <w:lang w:eastAsia="zh-CN"/>
        </w:rPr>
      </w:pPr>
      <w:r>
        <w:rPr>
          <w:rFonts w:hint="eastAsia" w:ascii="Times New Roman" w:hAnsi="Times New Roman Regular" w:eastAsia="仿宋_GB2312" w:cs="Times New Roman Regular"/>
          <w:b/>
          <w:bCs/>
          <w:color w:val="000000"/>
          <w:kern w:val="2"/>
          <w:sz w:val="24"/>
          <w:szCs w:val="24"/>
          <w:lang w:val="en-US" w:eastAsia="zh-CN" w:bidi="ar-SA"/>
        </w:rPr>
        <w:t>Declaración de derechos de autor</w:t>
      </w:r>
    </w:p>
    <w:p w14:paraId="24212E25">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Este manual es propiedad exclusiva de Henan Otywell Electronic Technology Co., Ltd. Sin autorización por escrito, ninguna parte de este manual puede reproducirse, traducirse, almacenarse en ninguna base de datos o sistema de recuperación, ni difundirse por ningún medio, incluida la transmisión electrónica, el fotocopiado, la grabación de audio, etc.</w:t>
      </w:r>
    </w:p>
    <w:p w14:paraId="2916903C">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Henan Otywell Electronic Technology Co., Ltd. se adhiere al principio del avance tecnológico y se compromete a la mejora continua del producto y a la mejora de su rendimiento. La empresa se reserva el derecho de realizar cualquier mejora del producto sin previo aviso.</w:t>
      </w:r>
    </w:p>
    <w:p w14:paraId="4CA7423B">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Si el usuario instala, repara o sustituye componentes sin seguir las instrucciones de este manual, las responsabilidades derivadas recaerán exclusivamente sobre el usuario.</w:t>
      </w:r>
    </w:p>
    <w:p w14:paraId="4C6E405F">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El producto real, incluidos su color y estilo, prevalecerá sobre cualquier representación.</w:t>
      </w:r>
    </w:p>
    <w:p w14:paraId="37A62A3E">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Guía de servicio al usuario</w:t>
      </w:r>
    </w:p>
    <w:p w14:paraId="4B567CB3">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1. Antes de utilizar este producto, compruebe cuidadosamente si los accesorios, la certificación del producto y la tarjeta de garantía del usuario están completos de acuerdo con la lista de entrega de fábrica. Si falta algún artículo, póngase en contacto inmediatamente con el vendedor o el fabricante.</w:t>
      </w:r>
    </w:p>
    <w:p w14:paraId="280F6D20">
      <w:pPr>
        <w:keepNext w:val="0"/>
        <w:keepLines w:val="0"/>
        <w:widowControl/>
        <w:numPr>
          <w:ilvl w:val="0"/>
          <w:numId w:val="1"/>
        </w:numPr>
        <w:suppressLineNumbers w:val="0"/>
        <w:ind w:left="210" w:leftChars="0" w:firstLine="0" w:firstLineChars="0"/>
        <w:jc w:val="left"/>
        <w:rPr>
          <w:rFonts w:hint="default" w:ascii="Times New Roman Regular" w:hAnsi="Times New Roman Regular" w:eastAsia="仿宋_GB2312" w:cs="Times New Roman Regular"/>
          <w:b w:val="0"/>
          <w:bCs/>
          <w:color w:val="000000"/>
          <w:spacing w:val="-2"/>
          <w:sz w:val="24"/>
          <w:szCs w:val="24"/>
        </w:rPr>
      </w:pPr>
      <w:r>
        <w:rPr>
          <w:rFonts w:hint="eastAsia" w:ascii="Times New Roman" w:hAnsi="Times New Roman Regular" w:eastAsia="宋体" w:cs="Times New Roman Regular"/>
          <w:b w:val="0"/>
          <w:kern w:val="0"/>
          <w:sz w:val="24"/>
          <w:szCs w:val="24"/>
          <w:lang w:val="en-US" w:eastAsia="zh-CN" w:bidi="ar"/>
        </w:rPr>
        <w:t>Durante los doce meses siguientes a la fecha de venta, se ofrecerán servicios de reparación gratuitos previa presentación de la tarjeta de garantía si la calidad del producto no cumple las especificaciones técnicas, siempre que el usuario cumpla los requisitos de almacenamiento, transporte y uso especificados.</w:t>
      </w:r>
    </w:p>
    <w:p w14:paraId="25E9E50A">
      <w:pPr>
        <w:keepNext w:val="0"/>
        <w:keepLines w:val="0"/>
        <w:widowControl/>
        <w:numPr>
          <w:ilvl w:val="0"/>
          <w:numId w:val="1"/>
        </w:numPr>
        <w:suppressLineNumbers w:val="0"/>
        <w:ind w:left="210" w:leftChars="0" w:firstLine="0" w:firstLineChars="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La empresa cobrará los servicios de reparación en caso de daños causados por el incumplimiento de las normas de funcionamiento, fallos derivados de reparaciones realizadas por departamentos técnicos autorizados no designados, o problemas de calidad del producto causados por factores de fuerza mayor.</w:t>
      </w:r>
    </w:p>
    <w:p w14:paraId="3274199D">
      <w:pPr>
        <w:keepNext w:val="0"/>
        <w:keepLines w:val="0"/>
        <w:widowControl/>
        <w:numPr>
          <w:ilvl w:val="0"/>
          <w:numId w:val="0"/>
        </w:numPr>
        <w:suppressLineNumbers w:val="0"/>
        <w:jc w:val="left"/>
        <w:rPr>
          <w:rFonts w:hint="default" w:ascii="Times New Roman" w:hAnsi="Times New Roman" w:eastAsia="仿宋_GB2312" w:cs="Times New Roman"/>
          <w:b w:val="0"/>
          <w:bCs/>
          <w:color w:val="000000"/>
          <w:spacing w:val="-2"/>
          <w:sz w:val="24"/>
          <w:szCs w:val="24"/>
        </w:rPr>
      </w:pPr>
    </w:p>
    <w:p w14:paraId="0FE2A959">
      <w:pPr>
        <w:keepNext w:val="0"/>
        <w:keepLines w:val="0"/>
        <w:widowControl/>
        <w:numPr>
          <w:ilvl w:val="0"/>
          <w:numId w:val="1"/>
        </w:numPr>
        <w:suppressLineNumbers w:val="0"/>
        <w:ind w:left="210" w:leftChars="0" w:firstLine="0" w:firstLineChars="0"/>
        <w:jc w:val="left"/>
        <w:rPr>
          <w:rFonts w:hint="default" w:ascii="Times New Roman" w:hAnsi="Times New Roman" w:cs="Times New Roman"/>
          <w:i w:val="0"/>
          <w:sz w:val="24"/>
          <w:szCs w:val="24"/>
        </w:rPr>
      </w:pPr>
      <w:r>
        <w:rPr>
          <w:rFonts w:hint="eastAsia" w:ascii="Times New Roman" w:hAnsi="Times New Roman" w:eastAsia="宋体" w:cs="Times New Roman"/>
          <w:i w:val="0"/>
          <w:kern w:val="0"/>
          <w:sz w:val="24"/>
          <w:szCs w:val="24"/>
          <w:lang w:val="en-US" w:eastAsia="zh-CN" w:bidi="ar"/>
        </w:rPr>
        <w:t>Tras el mantenimiento o la reparación del producto, el personal de mantenimiento deberá rellenar y firmar el Registro de mantenimiento y reparación; también se le solicita que firme y confirme en el Registro de mantenimiento y reparación facilitado por el personal de mantenimiento.</w:t>
      </w:r>
    </w:p>
    <w:p w14:paraId="356C92A0">
      <w:pPr>
        <w:keepNext w:val="0"/>
        <w:keepLines w:val="0"/>
        <w:widowControl/>
        <w:numPr>
          <w:ilvl w:val="0"/>
          <w:numId w:val="1"/>
        </w:numPr>
        <w:suppressLineNumbers w:val="0"/>
        <w:ind w:left="210" w:leftChars="0" w:firstLine="0" w:firstLineChars="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Si tiene alguna pregunta o comentario sobre los productos y servicios que ofrecemos, póngase en contacto con nosotros con prontitud. Atenderemos sus comentarios de forma adecuada.</w:t>
      </w:r>
    </w:p>
    <w:p w14:paraId="399F353B">
      <w:pPr>
        <w:pStyle w:val="7"/>
        <w:pageBreakBefore w:val="0"/>
        <w:numPr>
          <w:ilvl w:val="0"/>
          <w:numId w:val="0"/>
        </w:numPr>
        <w:kinsoku/>
        <w:wordWrap/>
        <w:overflowPunct/>
        <w:topLinePunct w:val="0"/>
        <w:bidi w:val="0"/>
        <w:ind w:leftChars="0"/>
        <w:jc w:val="both"/>
        <w:textAlignment w:val="center"/>
        <w:outlineLvl w:val="9"/>
        <w:rPr>
          <w:rFonts w:hint="default" w:ascii="Times New Roman" w:hAnsi="Times New Roman" w:eastAsia="宋体" w:cs="Times New Roman"/>
          <w:b w:val="0"/>
          <w:bCs/>
          <w:color w:val="000000"/>
          <w:sz w:val="24"/>
          <w:szCs w:val="24"/>
          <w:lang w:val="en-US" w:eastAsia="zh-CN"/>
        </w:rPr>
      </w:pPr>
    </w:p>
    <w:p w14:paraId="1F0EEF64">
      <w:pPr>
        <w:pStyle w:val="7"/>
        <w:pageBreakBefore w:val="0"/>
        <w:kinsoku/>
        <w:wordWrap/>
        <w:overflowPunct/>
        <w:topLinePunct w:val="0"/>
        <w:bidi w:val="0"/>
        <w:jc w:val="both"/>
        <w:textAlignment w:val="center"/>
        <w:outlineLvl w:val="9"/>
        <w:rPr>
          <w:rFonts w:hint="default" w:eastAsia="宋体"/>
          <w:b/>
          <w:bCs/>
          <w:color w:val="000000"/>
          <w:sz w:val="32"/>
          <w:szCs w:val="32"/>
          <w:lang w:val="en-US" w:eastAsia="zh-CN"/>
        </w:rPr>
      </w:pPr>
    </w:p>
    <w:p w14:paraId="3890EA91">
      <w:pPr>
        <w:pStyle w:val="7"/>
        <w:pageBreakBefore w:val="0"/>
        <w:kinsoku/>
        <w:wordWrap/>
        <w:overflowPunct/>
        <w:topLinePunct w:val="0"/>
        <w:bidi w:val="0"/>
        <w:jc w:val="both"/>
        <w:textAlignment w:val="center"/>
        <w:outlineLvl w:val="9"/>
        <w:rPr>
          <w:rFonts w:hint="default" w:eastAsia="宋体"/>
          <w:b/>
          <w:bCs/>
          <w:color w:val="000000"/>
          <w:sz w:val="32"/>
          <w:szCs w:val="32"/>
          <w:lang w:val="en-US" w:eastAsia="zh-CN"/>
        </w:rPr>
      </w:pPr>
    </w:p>
    <w:p w14:paraId="66D66B7C">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La apariencia y los colores del producto mostrados en el catálogo del producto son solo de referencia, y el suministro real estará sujeto a los productos físicos. La empresa se reserva el derecho de modificar los parámetros técnicos de los productos correspondientes de este catálogo sin previo aviso. Para consultas, llame a la línea de atención al cliente de nuestra empresa.</w:t>
      </w:r>
    </w:p>
    <w:p w14:paraId="35DE1822">
      <w:pPr>
        <w:pStyle w:val="7"/>
        <w:pageBreakBefore w:val="0"/>
        <w:kinsoku/>
        <w:wordWrap/>
        <w:overflowPunct/>
        <w:topLinePunct w:val="0"/>
        <w:bidi w:val="0"/>
        <w:spacing w:line="480" w:lineRule="auto"/>
        <w:textAlignment w:val="center"/>
        <w:outlineLvl w:val="9"/>
        <w:rPr>
          <w:b/>
          <w:bCs/>
          <w:color w:val="000000"/>
          <w:sz w:val="28"/>
          <w:szCs w:val="28"/>
        </w:rPr>
      </w:pPr>
      <w:r>
        <w:rPr>
          <w:b/>
          <w:bCs/>
          <w:color w:val="000000"/>
          <w:sz w:val="28"/>
          <w:szCs w:val="28"/>
        </w:rPr>
        <w:br w:type="page"/>
      </w:r>
    </w:p>
    <w:p w14:paraId="77A359BB">
      <w:pPr>
        <w:pStyle w:val="7"/>
        <w:pageBreakBefore w:val="0"/>
        <w:kinsoku/>
        <w:wordWrap/>
        <w:overflowPunct/>
        <w:topLinePunct w:val="0"/>
        <w:bidi w:val="0"/>
        <w:spacing w:line="480" w:lineRule="auto"/>
        <w:textAlignment w:val="center"/>
        <w:outlineLvl w:val="9"/>
        <w:rPr>
          <w:b/>
          <w:bCs/>
          <w:color w:val="000000"/>
          <w:sz w:val="28"/>
          <w:szCs w:val="28"/>
        </w:rPr>
      </w:pPr>
    </w:p>
    <w:p w14:paraId="2B84E9B7">
      <w:pPr>
        <w:pStyle w:val="7"/>
        <w:pageBreakBefore w:val="0"/>
        <w:kinsoku/>
        <w:wordWrap/>
        <w:overflowPunct/>
        <w:topLinePunct w:val="0"/>
        <w:bidi w:val="0"/>
        <w:spacing w:line="480" w:lineRule="auto"/>
        <w:textAlignment w:val="center"/>
        <w:outlineLvl w:val="9"/>
        <w:rPr>
          <w:b/>
          <w:bCs/>
          <w:color w:val="000000"/>
          <w:sz w:val="28"/>
          <w:szCs w:val="28"/>
        </w:rPr>
      </w:pPr>
    </w:p>
    <w:p w14:paraId="5FADCFB2">
      <w:pPr>
        <w:keepNext w:val="0"/>
        <w:keepLines w:val="0"/>
        <w:widowControl/>
        <w:suppressLineNumbers w:val="0"/>
        <w:jc w:val="center"/>
        <w:rPr>
          <w:rFonts w:hint="default" w:ascii="Times New Roman" w:hAnsi="Times New Roman" w:cs="Times New Roman"/>
          <w:sz w:val="44"/>
          <w:szCs w:val="44"/>
        </w:rPr>
      </w:pPr>
      <w:r>
        <w:rPr>
          <w:rFonts w:hint="eastAsia" w:ascii="Times New Roman" w:hAnsi="Times New Roman" w:eastAsia="宋体" w:cs="Times New Roman"/>
          <w:kern w:val="0"/>
          <w:sz w:val="44"/>
          <w:szCs w:val="44"/>
          <w:lang w:val="en-US" w:eastAsia="zh-CN" w:bidi="ar"/>
        </w:rPr>
        <w:t>Índice</w:t>
      </w:r>
    </w:p>
    <w:p w14:paraId="51043C7F">
      <w:pPr>
        <w:pStyle w:val="7"/>
        <w:pageBreakBefore w:val="0"/>
        <w:kinsoku/>
        <w:wordWrap/>
        <w:overflowPunct/>
        <w:topLinePunct w:val="0"/>
        <w:bidi w:val="0"/>
        <w:spacing w:line="480" w:lineRule="auto"/>
        <w:textAlignment w:val="center"/>
        <w:outlineLvl w:val="9"/>
        <w:rPr>
          <w:rFonts w:hint="eastAsia" w:ascii="黑体" w:hAnsi="黑体" w:eastAsia="黑体" w:cs="黑体"/>
          <w:b w:val="0"/>
          <w:bCs w:val="0"/>
          <w:color w:val="000000"/>
          <w:sz w:val="32"/>
          <w:szCs w:val="32"/>
        </w:rPr>
      </w:pPr>
    </w:p>
    <w:p w14:paraId="465B9921">
      <w:pPr>
        <w:keepNext w:val="0"/>
        <w:keepLines w:val="0"/>
        <w:widowControl/>
        <w:suppressLineNumbers w:val="0"/>
        <w:jc w:val="left"/>
        <w:rPr>
          <w:color w:val="auto"/>
          <w:u w:val="none"/>
        </w:rPr>
      </w:pPr>
      <w:r>
        <w:rPr>
          <w:color w:val="000000"/>
          <w:sz w:val="28"/>
          <w:szCs w:val="28"/>
        </w:rPr>
        <w:fldChar w:fldCharType="begin"/>
      </w:r>
      <w:r>
        <w:rPr>
          <w:color w:val="000000"/>
          <w:sz w:val="28"/>
          <w:szCs w:val="28"/>
        </w:rPr>
        <w:instrText xml:space="preserve">TOC \o "1-1" \h \u </w:instrText>
      </w:r>
      <w:r>
        <w:rPr>
          <w:color w:val="000000"/>
          <w:sz w:val="28"/>
          <w:szCs w:val="28"/>
        </w:rPr>
        <w:fldChar w:fldCharType="separate"/>
      </w: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"_Toc27496"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1 、Descripción general5</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6F891414">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w:t>
      </w:r>
    </w:p>
    <w:p w14:paraId="045B8744">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"_Toc19651"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2 、Diagrama de estructura general del producto8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528949E4">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3</w:t>
      </w:r>
    </w:p>
    <w:p w14:paraId="7C9E14FA">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"_Toc31593"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3 、Funciones y operación del producto8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6A2B382E">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3</w:t>
      </w:r>
    </w:p>
    <w:p w14:paraId="5EC7955A">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"_Toc8962"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4 、Información de alarma15</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5513BEA1">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9</w:t>
      </w:r>
    </w:p>
    <w:p w14:paraId="1A6A5B22">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"_Toc20105"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5 、Descripción de la función de carga16</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70BF9C41">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10</w:t>
      </w:r>
    </w:p>
    <w:p w14:paraId="71C3B410">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"_Toc28209"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6 、Precauciones de uso16</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1396D2D8">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11</w:t>
      </w:r>
    </w:p>
    <w:p w14:paraId="541DC2C9">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"_Toc19694"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7 、Fallos comunes y soluciones17</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56459F07">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17191C92">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"_Toc19018"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8 、Almacenamiento18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0785E4F0">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7B5325C1">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"_Toc19826"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9 、Accesorios18</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
      </w:r>
      <w:r>
        <w:rPr>
          <w:rFonts w:hint="eastAsia" w:ascii="Times New Roman" w:hAnsi="宋体" w:cs="宋体"/>
          <w:color w:val="auto"/>
          <w:kern w:val="0"/>
          <w:sz w:val="24"/>
          <w:szCs w:val="24"/>
          <w:u w:val="none"/>
          <w:lang w:val="en-US" w:eastAsia="zh-CN" w:bidi="ar"/>
        </w:rPr>
        <w:fldChar w:fldCharType="end"/>
      </w:r>
    </w:p>
    <w:p w14:paraId="21856F55">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6393480A">
      <w:pPr>
        <w:pStyle w:val="7"/>
        <w:pageBreakBefore w:val="0"/>
        <w:kinsoku/>
        <w:wordWrap/>
        <w:overflowPunct/>
        <w:topLinePunct w:val="0"/>
        <w:bidi w:val="0"/>
        <w:jc w:val="both"/>
        <w:textAlignment w:val="center"/>
        <w:outlineLvl w:val="9"/>
        <w:rPr>
          <w:color w:val="000000"/>
          <w:sz w:val="28"/>
          <w:szCs w:val="28"/>
        </w:rPr>
      </w:pPr>
      <w:r>
        <w:rPr>
          <w:color w:val="000000"/>
          <w:szCs w:val="28"/>
        </w:rPr>
        <w:fldChar w:fldCharType="end"/>
      </w:r>
    </w:p>
    <w:p w14:paraId="3FB0311C">
      <w:pPr>
        <w:pStyle w:val="7"/>
        <w:pageBreakBefore w:val="0"/>
        <w:kinsoku/>
        <w:wordWrap/>
        <w:overflowPunct/>
        <w:topLinePunct w:val="0"/>
        <w:bidi w:val="0"/>
        <w:jc w:val="both"/>
        <w:textAlignment w:val="center"/>
        <w:outlineLvl w:val="9"/>
        <w:rPr>
          <w:color w:val="000000"/>
          <w:sz w:val="28"/>
          <w:szCs w:val="28"/>
        </w:rPr>
      </w:pPr>
    </w:p>
    <w:p w14:paraId="421DE25C">
      <w:pPr>
        <w:pageBreakBefore w:val="0"/>
        <w:numPr>
          <w:ilvl w:val="0"/>
          <w:numId w:val="2"/>
        </w:numPr>
        <w:kinsoku/>
        <w:wordWrap/>
        <w:overflowPunct/>
        <w:topLinePunct w:val="0"/>
        <w:bidi w:val="0"/>
        <w:snapToGrid w:val="0"/>
        <w:spacing w:line="300" w:lineRule="auto"/>
        <w:textAlignment w:val="center"/>
        <w:outlineLvl w:val="9"/>
        <w:rPr>
          <w:rFonts w:ascii="宋体" w:hAnsi="宋体"/>
          <w:b/>
          <w:color w:val="000000"/>
          <w:sz w:val="18"/>
          <w:szCs w:val="18"/>
        </w:rPr>
        <w:sectPr>
          <w:headerReference r:id="rId3" w:type="default"/>
          <w:pgSz w:w="8419" w:h="11906" w:orient="landscape"/>
          <w:pgMar w:top="737" w:right="850" w:bottom="737" w:left="850" w:header="510" w:footer="510" w:gutter="0"/>
          <w:pgNumType w:start="0"/>
          <w:cols w:space="720" w:num="1"/>
          <w:titlePg/>
          <w:docGrid w:type="lines" w:linePitch="326" w:charSpace="0"/>
        </w:sectPr>
      </w:pPr>
    </w:p>
    <w:p w14:paraId="70D74360">
      <w:pPr>
        <w:keepNext w:val="0"/>
        <w:keepLines w:val="0"/>
        <w:widowControl/>
        <w:suppressLineNumbers w:val="0"/>
        <w:jc w:val="left"/>
        <w:rPr>
          <w:rFonts w:hint="eastAsia" w:eastAsia="黑体"/>
          <w:lang w:eastAsia="zh-CN"/>
        </w:rPr>
      </w:pPr>
      <w:bookmarkStart w:id="0" w:name="_Toc27496"/>
      <w:r>
        <w:rPr>
          <w:rFonts w:hint="default" w:ascii="Times New Roman" w:hAnsi="黑体" w:eastAsia="黑体" w:cs="黑体"/>
          <w:b w:val="0"/>
          <w:bCs/>
          <w:color w:val="000000"/>
          <w:sz w:val="24"/>
          <w:szCs w:val="24"/>
          <w:lang w:val="en-US"/>
        </w:rPr>
        <w:drawing>
          <wp:anchor distT="0" distB="0" distL="114300" distR="114300" simplePos="0" relativeHeight="251673600" behindDoc="1" locked="0" layoutInCell="1" allowOverlap="1">
            <wp:simplePos x="0" y="0"/>
            <wp:positionH relativeFrom="column">
              <wp:posOffset>3014345</wp:posOffset>
            </wp:positionH>
            <wp:positionV relativeFrom="paragraph">
              <wp:posOffset>105410</wp:posOffset>
            </wp:positionV>
            <wp:extent cx="1092835" cy="1797685"/>
            <wp:effectExtent l="0" t="0" r="24765" b="5715"/>
            <wp:wrapTight wrapText="bothSides">
              <wp:wrapPolygon>
                <wp:start x="1506" y="916"/>
                <wp:lineTo x="502" y="1831"/>
                <wp:lineTo x="502" y="15565"/>
                <wp:lineTo x="1004" y="20448"/>
                <wp:lineTo x="2008" y="21363"/>
                <wp:lineTo x="11045" y="21363"/>
                <wp:lineTo x="19579" y="20448"/>
                <wp:lineTo x="21085" y="18312"/>
                <wp:lineTo x="20583" y="3662"/>
                <wp:lineTo x="19579" y="916"/>
                <wp:lineTo x="18073" y="916"/>
                <wp:lineTo x="1506" y="916"/>
              </wp:wrapPolygon>
            </wp:wrapTight>
            <wp:docPr id="132" name="图片 45" descr="G40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45" descr="G40 01"/>
                    <pic:cNvPicPr>
                      <a:picLocks noChangeAspect="1" noChangeArrowheads="1"/>
                    </pic:cNvPicPr>
                  </pic:nvPicPr>
                  <pic:blipFill>
                    <a:blip r:embed="rId11" cstate="print"/>
                    <a:srcRect/>
                    <a:stretch>
                      <a:fillRect/>
                    </a:stretch>
                  </pic:blipFill>
                  <pic:spPr>
                    <a:xfrm>
                      <a:off x="0" y="0"/>
                      <a:ext cx="1092835" cy="1797685"/>
                    </a:xfrm>
                    <a:prstGeom prst="rect">
                      <a:avLst/>
                    </a:prstGeom>
                    <a:noFill/>
                    <a:ln w="9525">
                      <a:noFill/>
                      <a:miter lim="800000"/>
                      <a:headEnd/>
                      <a:tailEnd/>
                    </a:ln>
                    <a:effectLst/>
                  </pic:spPr>
                </pic:pic>
              </a:graphicData>
            </a:graphic>
          </wp:anchor>
        </w:drawing>
      </w:r>
      <w:r>
        <w:rPr>
          <w:rFonts w:hint="eastAsia" w:ascii="Times New Roman" w:hAnsi="宋体" w:eastAsia="宋体" w:cs="宋体"/>
          <w:kern w:val="0"/>
          <w:sz w:val="24"/>
          <w:szCs w:val="24"/>
          <w:lang w:val="en-US" w:eastAsia="zh-CN" w:bidi="ar"/>
        </w:rPr>
        <w:t>I. 1. Descripción general</w:t>
      </w:r>
      <w:bookmarkEnd w:id="0"/>
      <w:r>
        <w:rPr>
          <w:rFonts w:hint="eastAsia" w:ascii="Times New Roman" w:hAnsi="宋体" w:eastAsia="宋体" w:cs="宋体"/>
          <w:kern w:val="0"/>
          <w:sz w:val="24"/>
          <w:szCs w:val="24"/>
          <w:lang w:val="en-US" w:eastAsia="zh-CN" w:bidi="ar"/>
        </w:rPr>
        <w:t xml:space="preserve"/>
      </w:r>
    </w:p>
    <w:p w14:paraId="57406AC6">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rPr>
      </w:pPr>
    </w:p>
    <w:p w14:paraId="54BFD833">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Este instrumento multigás de detección y alarma es un dispositivo de seguridad intrínseca capaz de detectar de forma continua la concentración de gas con fugas. El instrumento adopta un control por microordenador embebido, con un manejo sencillo y funciones completas.</w:t>
      </w:r>
    </w:p>
    <w:p w14:paraId="0B4A0621">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16B1555C">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La carcasa de este instrumento multigás de detección y alarma está fabricada en plástico de ingeniería de alta resistencia con una funda protectora de silicona, y ofrece una elevada resistencia estructural, un agarre cómodo y un rendimiento estanco al agua y al polvo y antideflagrante.</w:t>
      </w:r>
    </w:p>
    <w:p w14:paraId="291D0AE3">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10CA1B61">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Este instrumento multigás de detección y alarma puede detectar 5 tipos de gases simultáneamente, con los 5 tipos de gas disponibles para combinación arbitraria.</w:t>
      </w:r>
    </w:p>
    <w:p w14:paraId="28659443">
      <w:pPr>
        <w:keepNext w:val="0"/>
        <w:keepLines w:val="0"/>
        <w:widowControl/>
        <w:suppressLineNumbers w:val="0"/>
        <w:jc w:val="left"/>
        <w:rPr>
          <w:rFonts w:ascii="宋体" w:hAnsi="宋体" w:eastAsia="宋体" w:cs="宋体"/>
          <w:kern w:val="0"/>
          <w:sz w:val="24"/>
          <w:szCs w:val="24"/>
          <w:lang w:val="en-US" w:eastAsia="zh-CN" w:bidi="ar"/>
        </w:rPr>
      </w:pPr>
    </w:p>
    <w:p w14:paraId="400CE3C2">
      <w:pPr>
        <w:pageBreakBefore w:val="0"/>
        <w:kinsoku/>
        <w:wordWrap/>
        <w:overflowPunct/>
        <w:topLinePunct w:val="0"/>
        <w:bidi w:val="0"/>
        <w:snapToGrid w:val="0"/>
        <w:spacing w:line="336" w:lineRule="auto"/>
        <w:ind w:firstLine="200" w:firstLineChars="100"/>
        <w:textAlignment w:val="center"/>
        <w:outlineLvl w:val="9"/>
        <w:rPr>
          <w:rFonts w:ascii="宋体" w:hAnsi="宋体"/>
          <w:color w:val="000000"/>
          <w:sz w:val="20"/>
          <w:szCs w:val="20"/>
        </w:rPr>
      </w:pPr>
    </w:p>
    <w:p w14:paraId="75E1FD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Times New Roman" w:hAnsi="Times New Roman" w:eastAsia="黑体" w:cs="Times New Roman"/>
          <w:b w:val="0"/>
          <w:color w:val="000000"/>
          <w:sz w:val="24"/>
          <w:szCs w:val="24"/>
          <w:lang w:eastAsia="zh-CN"/>
        </w:rPr>
      </w:pPr>
      <w:r>
        <w:rPr>
          <w:rFonts w:hint="eastAsia" w:ascii="Times New Roman" w:hAnsi="Times New Roman" w:eastAsia="黑体" w:cs="Times New Roman"/>
          <w:b w:val="0"/>
          <w:bCs/>
          <w:color w:val="000000"/>
          <w:kern w:val="2"/>
          <w:sz w:val="24"/>
          <w:szCs w:val="24"/>
          <w:lang w:val="en-US" w:eastAsia="zh-CN" w:bidi="ar-SA"/>
        </w:rPr>
        <w:t>1.1 Normas nacionales cumplidas en el diseño, la fabricación y la verificación de este producto</w:t>
      </w:r>
    </w:p>
    <w:p w14:paraId="2CBDB573">
      <w:pPr>
        <w:pageBreakBefore w:val="0"/>
        <w:numPr>
          <w:ilvl w:val="0"/>
          <w:numId w:val="0"/>
        </w:numPr>
        <w:kinsoku/>
        <w:wordWrap/>
        <w:overflowPunct/>
        <w:topLinePunct w:val="0"/>
        <w:bidi w:val="0"/>
        <w:snapToGrid w:val="0"/>
        <w:spacing w:line="300" w:lineRule="auto"/>
        <w:ind w:leftChars="0"/>
        <w:textAlignment w:val="center"/>
        <w:outlineLvl w:val="9"/>
        <w:rPr>
          <w:rFonts w:hint="eastAsia" w:ascii="Times New Roman" w:hAnsi="Times New Roman" w:cs="Times New Roman"/>
          <w:b/>
          <w:sz w:val="20"/>
          <w:szCs w:val="20"/>
          <w:lang w:val="en-US" w:eastAsia="zh-CN"/>
        </w:rPr>
      </w:pPr>
    </w:p>
    <w:p w14:paraId="169DF3C8">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GB/T 3836.1—2021 Atmósferas explosivas - Parte 1: Equipos - Requisitos generales</w:t>
      </w:r>
    </w:p>
    <w:p w14:paraId="3B55028E">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210FDA41">
      <w:pPr>
        <w:keepNext w:val="0"/>
        <w:keepLines w:val="0"/>
        <w:widowControl/>
        <w:suppressLineNumbers w:val="0"/>
        <w:jc w:val="left"/>
      </w:pPr>
      <w:r>
        <w:rPr>
          <w:rFonts w:hint="eastAsia" w:ascii="Times New Roman" w:hAnsi="Times New Roman" w:eastAsia="宋体" w:cs="Times New Roman"/>
          <w:kern w:val="0"/>
          <w:sz w:val="24"/>
          <w:szCs w:val="24"/>
          <w:lang w:val="en-US" w:eastAsia="zh-CN" w:bidi="ar"/>
        </w:rPr>
        <w:t>GB/T 3836.4—2021 Atmósferas explosivas - Parte 4: Equipos protegidos por seguridad intrínseca tipo 'i' GB 12358—2024 Detectores de gas con alarma para el entorno en los lugares de trabajo - Requisitos técnicos generales GB/T 4208—2017 Grado de protección de las envolventes (Código IP)</w:t>
      </w:r>
    </w:p>
    <w:p w14:paraId="1C76ECB4">
      <w:pPr>
        <w:pageBreakBefore w:val="0"/>
        <w:kinsoku/>
        <w:wordWrap/>
        <w:overflowPunct/>
        <w:topLinePunct w:val="0"/>
        <w:bidi w:val="0"/>
        <w:snapToGrid w:val="0"/>
        <w:spacing w:line="336" w:lineRule="auto"/>
        <w:textAlignment w:val="center"/>
        <w:outlineLvl w:val="9"/>
        <w:rPr>
          <w:rFonts w:hint="eastAsia"/>
          <w:color w:val="000000"/>
          <w:sz w:val="20"/>
          <w:szCs w:val="20"/>
        </w:rPr>
      </w:pPr>
    </w:p>
    <w:p w14:paraId="6470D83E">
      <w:pPr>
        <w:keepNext w:val="0"/>
        <w:keepLines w:val="0"/>
        <w:widowControl/>
        <w:suppressLineNumbers w:val="0"/>
        <w:jc w:val="left"/>
        <w:rPr>
          <w:rFonts w:hint="default" w:ascii="Times New Roman Bold" w:hAnsi="Times New Roman Bold" w:cs="Times New Roman Bold"/>
          <w:b/>
          <w:bCs/>
          <w:sz w:val="24"/>
          <w:szCs w:val="24"/>
        </w:rPr>
      </w:pPr>
      <w:r>
        <w:rPr>
          <w:rFonts w:hint="eastAsia" w:ascii="Times New Roman" w:hAnsi="Times New Roman Bold" w:eastAsia="宋体" w:cs="Times New Roman Bold"/>
          <w:b/>
          <w:bCs/>
          <w:kern w:val="0"/>
          <w:sz w:val="24"/>
          <w:szCs w:val="24"/>
          <w:lang w:val="en-US" w:eastAsia="zh-CN" w:bidi="ar"/>
        </w:rPr>
        <w:t>1.2 Descripción del modelo</w:t>
      </w:r>
    </w:p>
    <w:p w14:paraId="6057973A">
      <w:pPr>
        <w:keepNext w:val="0"/>
        <w:keepLines w:val="0"/>
        <w:widowControl/>
        <w:suppressLineNumbers w:val="0"/>
        <w:jc w:val="left"/>
      </w:pPr>
      <w:r>
        <w:rPr>
          <w:rFonts w:hint="eastAsia" w:ascii="Times New Roman" w:hAnsi="宋体" w:eastAsia="宋体" w:cs="宋体"/>
          <w:kern w:val="0"/>
          <w:sz w:val="24"/>
          <w:szCs w:val="24"/>
          <w:lang w:val="en-US" w:eastAsia="zh-CN" w:bidi="ar"/>
        </w:rPr>
        <w:t>El significado del modelo y el código del detector es el siguiente:</w:t>
      </w:r>
    </w:p>
    <w:p w14:paraId="36AED84F">
      <w:pPr>
        <w:pStyle w:val="15"/>
        <w:pageBreakBefore w:val="0"/>
        <w:kinsoku/>
        <w:wordWrap/>
        <w:overflowPunct/>
        <w:topLinePunct w:val="0"/>
        <w:bidi w:val="0"/>
        <w:ind w:firstLine="360"/>
        <w:textAlignment w:val="center"/>
        <w:outlineLvl w:val="9"/>
        <w:rPr>
          <w:rFonts w:hint="eastAsia" w:eastAsia="宋体"/>
          <w:sz w:val="20"/>
          <w:szCs w:val="20"/>
          <w:lang w:eastAsia="zh-CN"/>
        </w:rPr>
      </w:pPr>
      <w:r>
        <w:rPr>
          <w:rFonts w:hint="eastAsia" w:ascii="Times New Roman" w:hAnsi="Times New Roman" w:eastAsia="宋体" w:cs="Times New Roman"/>
          <w:sz w:val="20"/>
          <w:szCs w:val="20"/>
          <w:lang w:val="en-US" w:eastAsia="zh-CN" w:bidi="ar-SA"/>
        </w:rPr>
        <w:t>G 40</w:t>
      </w:r>
    </w:p>
    <w:p w14:paraId="23D09965">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4384" behindDoc="0" locked="0" layoutInCell="1" allowOverlap="1">
                <wp:simplePos x="0" y="0"/>
                <wp:positionH relativeFrom="column">
                  <wp:posOffset>495300</wp:posOffset>
                </wp:positionH>
                <wp:positionV relativeFrom="paragraph">
                  <wp:posOffset>38735</wp:posOffset>
                </wp:positionV>
                <wp:extent cx="237490" cy="635"/>
                <wp:effectExtent l="0" t="0" r="0" b="0"/>
                <wp:wrapNone/>
                <wp:docPr id="122" name="直线 16"/>
                <wp:cNvGraphicFramePr/>
                <a:graphic xmlns:a="http://schemas.openxmlformats.org/drawingml/2006/main">
                  <a:graphicData uri="http://schemas.microsoft.com/office/word/2010/wordprocessingShape">
                    <wps:wsp>
                      <wps:cNvCnPr/>
                      <wps:spPr>
                        <a:xfrm>
                          <a:off x="0" y="0"/>
                          <a:ext cx="23749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6" o:spid="_x0000_s1026" o:spt="20" style="position:absolute;left:0pt;margin-left:39pt;margin-top:3.05pt;height:0.05pt;width:18.7pt;z-index:251664384;mso-width-relative:page;mso-height-relative:page;" filled="f" stroked="t" coordsize="21600,21600" o:gfxdata="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O/1vdQA&#10;AAAGAQAADwAAAAAAAAABACAAAAAiAAAAZHJzL2Rvd25yZXYueG1sUEsBAhQAFAAAAAgAh07iQCSF&#10;nmnqAQAA3wMAAA4AAAAAAAAAAQAgAAAAIwEAAGRycy9lMm9Eb2MueG1sUEsFBgAAAAAGAAYAWQEA&#10;AH8FAAAAAA==&#10;">
                <v:fill on="f" focussize="0,0"/>
                <v:stroke color="#000000" joinstyle="round"/>
                <v:imagedata o:title=""/>
                <o:lock v:ext="edit" aspectratio="f"/>
              </v:line>
            </w:pict>
          </mc:Fallback>
        </mc:AlternateContent>
      </w:r>
      <w:r>
        <w:rPr>
          <w:sz w:val="20"/>
          <w:szCs w:val="20"/>
        </w:rPr>
        <mc:AlternateContent>
          <mc:Choice Requires="wps">
            <w:drawing>
              <wp:anchor distT="0" distB="0" distL="114300" distR="114300" simplePos="0" relativeHeight="251665408" behindDoc="0" locked="0" layoutInCell="1" allowOverlap="1">
                <wp:simplePos x="0" y="0"/>
                <wp:positionH relativeFrom="column">
                  <wp:posOffset>895350</wp:posOffset>
                </wp:positionH>
                <wp:positionV relativeFrom="paragraph">
                  <wp:posOffset>38735</wp:posOffset>
                </wp:positionV>
                <wp:extent cx="237490" cy="635"/>
                <wp:effectExtent l="0" t="0" r="0" b="0"/>
                <wp:wrapNone/>
                <wp:docPr id="123" name="直线 17"/>
                <wp:cNvGraphicFramePr/>
                <a:graphic xmlns:a="http://schemas.openxmlformats.org/drawingml/2006/main">
                  <a:graphicData uri="http://schemas.microsoft.com/office/word/2010/wordprocessingShape">
                    <wps:wsp>
                      <wps:cNvCnPr/>
                      <wps:spPr>
                        <a:xfrm>
                          <a:off x="0" y="0"/>
                          <a:ext cx="23749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70.5pt;margin-top:3.05pt;height:0.05pt;width:18.7pt;z-index:251665408;mso-width-relative:page;mso-height-relative:page;" filled="f" stroked="t" coordsize="21600,21600" o:gfxdata="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47TDvU&#10;AAAABwEAAA8AAAAAAAAAAQAgAAAAIgAAAGRycy9kb3ducmV2LnhtbFBLAQIUABQAAAAIAIdO4kBW&#10;bpRA6wEAAN8DAAAOAAAAAAAAAAEAIAAAACMBAABkcnMvZTJvRG9jLnhtbFBLBQYAAAAABgAGAFkB&#10;AACABQAAAAA=&#10;">
                <v:fill on="f" focussize="0,0"/>
                <v:stroke color="#000000" joinstyle="round"/>
                <v:imagedata o:title=""/>
                <o:lock v:ext="edit" aspectratio="f"/>
              </v:line>
            </w:pict>
          </mc:Fallback>
        </mc:AlternateContent>
      </w:r>
      <w:r>
        <w:rPr>
          <w:sz w:val="20"/>
          <w:szCs w:val="20"/>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38735</wp:posOffset>
                </wp:positionV>
                <wp:extent cx="635" cy="760730"/>
                <wp:effectExtent l="6350" t="0" r="18415" b="1270"/>
                <wp:wrapNone/>
                <wp:docPr id="120" name="自选图形 14"/>
                <wp:cNvGraphicFramePr/>
                <a:graphic xmlns:a="http://schemas.openxmlformats.org/drawingml/2006/main">
                  <a:graphicData uri="http://schemas.microsoft.com/office/word/2010/wordprocessingShape">
                    <wps:wsp>
                      <wps:cNvCnPr/>
                      <wps:spPr>
                        <a:xfrm flipH="1">
                          <a:off x="0" y="0"/>
                          <a:ext cx="635" cy="7607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4" o:spid="_x0000_s1026" o:spt="32" type="#_x0000_t32" style="position:absolute;left:0pt;flip:x;margin-left:81pt;margin-top:3.05pt;height:59.9pt;width:0.05pt;z-index:251662336;mso-width-relative:page;mso-height-relative:page;" filled="f" stroked="t" coordsize="21600,21600" o:gfxdata="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CF0ZM1gAAAAkBAAAPAAAAAAAAAAEAIAAAACIAAABkcnMvZG93bnJl&#10;di54bWxQSwECFAAUAAAACACHTuJAjLcHtP8BAADxAwAADgAAAAAAAAABACAAAAAlAQAAZHJzL2Uy&#10;b0RvYy54bWxQSwUGAAAAAAYABgBZAQAAlgU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3360" behindDoc="0" locked="0" layoutInCell="1" allowOverlap="1">
                <wp:simplePos x="0" y="0"/>
                <wp:positionH relativeFrom="column">
                  <wp:posOffset>1006475</wp:posOffset>
                </wp:positionH>
                <wp:positionV relativeFrom="paragraph">
                  <wp:posOffset>772795</wp:posOffset>
                </wp:positionV>
                <wp:extent cx="2160270" cy="635"/>
                <wp:effectExtent l="0" t="0" r="0" b="0"/>
                <wp:wrapNone/>
                <wp:docPr id="121" name="自选图形 15"/>
                <wp:cNvGraphicFramePr/>
                <a:graphic xmlns:a="http://schemas.openxmlformats.org/drawingml/2006/main">
                  <a:graphicData uri="http://schemas.microsoft.com/office/word/2010/wordprocessingShape">
                    <wps:wsp>
                      <wps:cNvCnPr/>
                      <wps:spPr>
                        <a:xfrm>
                          <a:off x="0" y="0"/>
                          <a:ext cx="216027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5" o:spid="_x0000_s1026" o:spt="32" type="#_x0000_t32" style="position:absolute;left:0pt;margin-left:79.25pt;margin-top:60.85pt;height:0.05pt;width:170.1pt;z-index:251663360;mso-width-relative:page;mso-height-relative:page;" filled="f" stroked="t" coordsize="21600,21600" o:gfxdata="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e/S9cAAAALAQAADwAAAAAAAAABACAAAAAiAAAAZHJzL2Rvd25yZXYueG1s&#10;UEsBAhQAFAAAAAgAh07iQGP2+en5AQAA6AMAAA4AAAAAAAAAAQAgAAAAJgEAAGRycy9lMm9Eb2Mu&#10;eG1sUEsFBgAAAAAGAAYAWQEAAJEFA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612775</wp:posOffset>
                </wp:positionH>
                <wp:positionV relativeFrom="paragraph">
                  <wp:posOffset>1158875</wp:posOffset>
                </wp:positionV>
                <wp:extent cx="2555240" cy="635"/>
                <wp:effectExtent l="0" t="0" r="0" b="0"/>
                <wp:wrapNone/>
                <wp:docPr id="116" name="自选图形 13"/>
                <wp:cNvGraphicFramePr/>
                <a:graphic xmlns:a="http://schemas.openxmlformats.org/drawingml/2006/main">
                  <a:graphicData uri="http://schemas.microsoft.com/office/word/2010/wordprocessingShape">
                    <wps:wsp>
                      <wps:cNvCnPr/>
                      <wps:spPr>
                        <a:xfrm>
                          <a:off x="0" y="0"/>
                          <a:ext cx="255524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3" o:spid="_x0000_s1026" o:spt="32" type="#_x0000_t32" style="position:absolute;left:0pt;margin-left:48.25pt;margin-top:91.25pt;height:0.05pt;width:201.2pt;z-index:251661312;mso-width-relative:page;mso-height-relative:page;" filled="f" stroked="t" coordsize="21600,21600" o:gfxdata="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c2ElbXAAAACgEAAA8AAAAAAAAAAQAgAAAAIgAAAGRycy9kb3ducmV2LnhtbFBL&#10;AQIUABQAAAAIAIdO4kA3risr9wEAAOgDAAAOAAAAAAAAAAEAIAAAACYBAABkcnMvZTJvRG9jLnht&#10;bFBLBQYAAAAABgAGAFkBAACPBQ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0288" behindDoc="0" locked="0" layoutInCell="1" allowOverlap="1">
                <wp:simplePos x="0" y="0"/>
                <wp:positionH relativeFrom="column">
                  <wp:posOffset>628650</wp:posOffset>
                </wp:positionH>
                <wp:positionV relativeFrom="paragraph">
                  <wp:posOffset>38735</wp:posOffset>
                </wp:positionV>
                <wp:extent cx="3175" cy="1151890"/>
                <wp:effectExtent l="6350" t="0" r="15875" b="16510"/>
                <wp:wrapNone/>
                <wp:docPr id="115" name="自选图形 12"/>
                <wp:cNvGraphicFramePr/>
                <a:graphic xmlns:a="http://schemas.openxmlformats.org/drawingml/2006/main">
                  <a:graphicData uri="http://schemas.microsoft.com/office/word/2010/wordprocessingShape">
                    <wps:wsp>
                      <wps:cNvCnPr/>
                      <wps:spPr>
                        <a:xfrm>
                          <a:off x="0" y="0"/>
                          <a:ext cx="3175" cy="11518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2" o:spid="_x0000_s1026" o:spt="32" type="#_x0000_t32" style="position:absolute;left:0pt;margin-left:49.5pt;margin-top:3.05pt;height:90.7pt;width:0.25pt;z-index:251660288;mso-width-relative:page;mso-height-relative:page;" filled="f" stroked="t" coordsize="21600,21600" o:gfxdata="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lrJWS1gAAAAcBAAAPAAAAAAAAAAEAIAAAACIAAABkcnMvZG93bnJldi54bWxQ&#10;SwECFAAUAAAACACHTuJA84If7vkBAADpAwAADgAAAAAAAAABACAAAAAlAQAAZHJzL2Uyb0RvYy54&#10;bWxQSwUGAAAAAAYABgBZAQAAkAUAAAAA&#10;">
                <v:fill on="f" focussize="0,0"/>
                <v:stroke color="#000000" joinstyle="round"/>
                <v:imagedata o:title=""/>
                <o:lock v:ext="edit" aspectratio="f"/>
              </v:shape>
            </w:pict>
          </mc:Fallback>
        </mc:AlternateContent>
      </w:r>
    </w:p>
    <w:p w14:paraId="5AB08D2F">
      <w:pPr>
        <w:pStyle w:val="15"/>
        <w:pageBreakBefore w:val="0"/>
        <w:kinsoku/>
        <w:wordWrap/>
        <w:overflowPunct/>
        <w:topLinePunct w:val="0"/>
        <w:bidi w:val="0"/>
        <w:ind w:firstLine="360"/>
        <w:textAlignment w:val="center"/>
        <w:outlineLvl w:val="9"/>
        <w:rPr>
          <w:sz w:val="20"/>
          <w:szCs w:val="20"/>
        </w:rPr>
      </w:pPr>
    </w:p>
    <w:p w14:paraId="1E6C7855">
      <w:pPr>
        <w:pStyle w:val="15"/>
        <w:pageBreakBefore w:val="0"/>
        <w:kinsoku/>
        <w:wordWrap/>
        <w:overflowPunct/>
        <w:topLinePunct w:val="0"/>
        <w:bidi w:val="0"/>
        <w:ind w:firstLine="360"/>
        <w:textAlignment w:val="center"/>
        <w:outlineLvl w:val="9"/>
        <w:rPr>
          <w:sz w:val="20"/>
          <w:szCs w:val="20"/>
        </w:rPr>
      </w:pPr>
    </w:p>
    <w:p w14:paraId="5C4C307F">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5408" behindDoc="0" locked="0" layoutInCell="1" allowOverlap="1">
                <wp:simplePos x="0" y="0"/>
                <wp:positionH relativeFrom="column">
                  <wp:posOffset>3200400</wp:posOffset>
                </wp:positionH>
                <wp:positionV relativeFrom="paragraph">
                  <wp:posOffset>38735</wp:posOffset>
                </wp:positionV>
                <wp:extent cx="1433830" cy="504190"/>
                <wp:effectExtent l="0" t="0" r="0" b="0"/>
                <wp:wrapNone/>
                <wp:docPr id="124" name="文本框 18"/>
                <wp:cNvGraphicFramePr/>
                <a:graphic xmlns:a="http://schemas.openxmlformats.org/drawingml/2006/main">
                  <a:graphicData uri="http://schemas.microsoft.com/office/word/2010/wordprocessingShape">
                    <wps:wsp>
                      <wps:cNvSpPr txBox="1"/>
                      <wps:spPr>
                        <a:xfrm>
                          <a:off x="0" y="0"/>
                          <a:ext cx="1433830" cy="504190"/>
                        </a:xfrm>
                        <a:prstGeom prst="rect">
                          <a:avLst/>
                        </a:prstGeom>
                        <a:noFill/>
                        <a:ln>
                          <a:noFill/>
                        </a:ln>
                      </wps:spPr>
                      <wps:txbx>
                        <w:txbxContent>
                          <w:p w14:paraId="1F514ECD">
                            <w:pPr>
                              <w:keepNext w:val="0"/>
                              <w:keepLines w:val="0"/>
                              <w:widowControl/>
                              <w:suppressLineNumbers w:val="0"/>
                              <w:jc w:val="left"/>
                              <w:rPr>
                                <w:rFonts w:hint="default" w:ascii="Times New Roman Regular" w:hAnsi="Times New Roman Regular" w:cs="Times New Roman Regular"/>
                                <w:sz w:val="21"/>
                                <w:szCs w:val="21"/>
                                <w:highlight w:val="yellow"/>
                              </w:rPr>
                            </w:pPr>
                            <w:r>
                              <w:rPr>
                                <w:rFonts w:hint="eastAsia" w:ascii="Times New Roman" w:hAnsi="Times New Roman Regular" w:eastAsia="宋体" w:cs="Times New Roman Regular"/>
                                <w:kern w:val="0"/>
                                <w:sz w:val="21"/>
                                <w:szCs w:val="21"/>
                                <w:highlight w:val="yellow"/>
                                <w:lang w:val="en-US" w:eastAsia="zh-CN" w:bidi="ar"/>
                              </w:rPr>
                              <w:t>Número de serie de diseño</w:t>
                            </w:r>
                          </w:p>
                          <w:p w14:paraId="10FEC680">
                            <w:pPr>
                              <w:keepNext w:val="0"/>
                              <w:keepLines w:val="0"/>
                              <w:widowControl/>
                              <w:suppressLineNumbers w:val="0"/>
                              <w:jc w:val="left"/>
                              <w:rPr>
                                <w:highlight w:val="yellow"/>
                              </w:rPr>
                            </w:pPr>
                          </w:p>
                          <w:p w14:paraId="3AA99EAC">
                            <w:pPr>
                              <w:rPr>
                                <w:highlight w:val="yellow"/>
                              </w:rPr>
                            </w:pPr>
                          </w:p>
                        </w:txbxContent>
                      </wps:txbx>
                      <wps:bodyPr upright="1"/>
                    </wps:wsp>
                  </a:graphicData>
                </a:graphic>
              </wp:anchor>
            </w:drawing>
          </mc:Choice>
          <mc:Fallback>
            <w:pict>
              <v:shape id="文本框 18" o:spid="_x0000_s1026" o:spt="202" type="#_x0000_t202" style="position:absolute;left:0pt;margin-left:252pt;margin-top:3.05pt;height:39.7pt;width:112.9pt;z-index:251665408;mso-width-relative:page;mso-height-relative:page;" filled="f" stroked="f" coordsize="21600,21600" o:gfxdata="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DB0BatYA&#10;AAAIAQAADwAAAAAAAAABACAAAAAiAAAAZHJzL2Rvd25yZXYueG1sUEsBAhQAFAAAAAgAh07iQDis&#10;6XKvAQAAUQMAAA4AAAAAAAAAAQAgAAAAJQEAAGRycy9lMm9Eb2MueG1sUEsFBgAAAAAGAAYAWQEA&#10;AEYFAAAAAA==&#10;">
                <v:fill on="f" focussize="0,0"/>
                <v:stroke on="f"/>
                <v:imagedata o:title=""/>
                <o:lock v:ext="edit" aspectratio="f"/>
                <v:textbox>
                  <w:txbxContent>
                    <w:p w14:paraId="1F514ECD">
                      <w:pPr>
                        <w:keepNext w:val="0"/>
                        <w:keepLines w:val="0"/>
                        <w:widowControl/>
                        <w:suppressLineNumbers w:val="0"/>
                        <w:jc w:val="left"/>
                        <w:rPr>
                          <w:rFonts w:hint="default" w:ascii="Times New Roman Regular" w:hAnsi="Times New Roman Regular" w:cs="Times New Roman Regular"/>
                          <w:sz w:val="21"/>
                          <w:szCs w:val="21"/>
                          <w:highlight w:val="yellow"/>
                        </w:rPr>
                      </w:pPr>
                      <w:r>
                        <w:rPr>
                          <w:rFonts w:hint="eastAsia" w:ascii="Times New Roman" w:hAnsi="Times New Roman Regular" w:eastAsia="宋体" w:cs="Times New Roman Regular"/>
                          <w:kern w:val="0"/>
                          <w:sz w:val="21"/>
                          <w:szCs w:val="21"/>
                          <w:highlight w:val="yellow"/>
                          <w:lang w:val="en-US" w:eastAsia="zh-CN" w:bidi="ar"/>
                        </w:rPr>
                        <w:t>Número de serie de diseño</w:t>
                      </w:r>
                    </w:p>
                    <w:p w14:paraId="10FEC680">
                      <w:pPr>
                        <w:keepNext w:val="0"/>
                        <w:keepLines w:val="0"/>
                        <w:widowControl/>
                        <w:suppressLineNumbers w:val="0"/>
                        <w:jc w:val="left"/>
                        <w:rPr>
                          <w:highlight w:val="yellow"/>
                        </w:rPr>
                      </w:pPr>
                    </w:p>
                    <w:p w14:paraId="3AA99EAC">
                      <w:pPr>
                        <w:rPr>
                          <w:highlight w:val="yellow"/>
                        </w:rPr>
                      </w:pPr>
                    </w:p>
                  </w:txbxContent>
                </v:textbox>
              </v:shape>
            </w:pict>
          </mc:Fallback>
        </mc:AlternateContent>
      </w:r>
    </w:p>
    <w:p w14:paraId="5749C547">
      <w:pPr>
        <w:pStyle w:val="15"/>
        <w:pageBreakBefore w:val="0"/>
        <w:kinsoku/>
        <w:wordWrap/>
        <w:overflowPunct/>
        <w:topLinePunct w:val="0"/>
        <w:bidi w:val="0"/>
        <w:ind w:firstLine="360"/>
        <w:textAlignment w:val="center"/>
        <w:outlineLvl w:val="9"/>
        <w:rPr>
          <w:sz w:val="20"/>
          <w:szCs w:val="20"/>
        </w:rPr>
      </w:pPr>
    </w:p>
    <w:p w14:paraId="428730BC">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6432" behindDoc="0" locked="0" layoutInCell="1" allowOverlap="1">
                <wp:simplePos x="0" y="0"/>
                <wp:positionH relativeFrom="column">
                  <wp:posOffset>3200400</wp:posOffset>
                </wp:positionH>
                <wp:positionV relativeFrom="paragraph">
                  <wp:posOffset>38735</wp:posOffset>
                </wp:positionV>
                <wp:extent cx="1103630" cy="504825"/>
                <wp:effectExtent l="0" t="0" r="0" b="0"/>
                <wp:wrapNone/>
                <wp:docPr id="125" name="文本框 19"/>
                <wp:cNvGraphicFramePr/>
                <a:graphic xmlns:a="http://schemas.openxmlformats.org/drawingml/2006/main">
                  <a:graphicData uri="http://schemas.microsoft.com/office/word/2010/wordprocessingShape">
                    <wps:wsp>
                      <wps:cNvSpPr txBox="1"/>
                      <wps:spPr>
                        <a:xfrm>
                          <a:off x="0" y="0"/>
                          <a:ext cx="1103630" cy="504825"/>
                        </a:xfrm>
                        <a:prstGeom prst="rect">
                          <a:avLst/>
                        </a:prstGeom>
                        <a:noFill/>
                        <a:ln>
                          <a:noFill/>
                        </a:ln>
                      </wps:spPr>
                      <wps:txbx>
                        <w:txbxContent>
                          <w:p w14:paraId="131CB1F3">
                            <w:pPr>
                              <w:keepNext w:val="0"/>
                              <w:keepLines w:val="0"/>
                              <w:widowControl/>
                              <w:suppressLineNumbers w:val="0"/>
                              <w:jc w:val="left"/>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Tipo de producto</w:t>
                            </w:r>
                          </w:p>
                          <w:p w14:paraId="0F9D3AB0"/>
                        </w:txbxContent>
                      </wps:txbx>
                      <wps:bodyPr upright="1"/>
                    </wps:wsp>
                  </a:graphicData>
                </a:graphic>
              </wp:anchor>
            </w:drawing>
          </mc:Choice>
          <mc:Fallback>
            <w:pict>
              <v:shape id="文本框 19" o:spid="_x0000_s1026" o:spt="202" type="#_x0000_t202" style="position:absolute;left:0pt;margin-left:252pt;margin-top:3.05pt;height:39.75pt;width:86.9pt;z-index:251666432;mso-width-relative:page;mso-height-relative:page;" filled="f" stroked="f" coordsize="21600,21600" o:gfxdata="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JU3J1gAA&#10;AAgBAAAPAAAAAAAAAAEAIAAAACIAAABkcnMvZG93bnJldi54bWxQSwECFAAUAAAACACHTuJAxXCe&#10;oa4BAABRAwAADgAAAAAAAAABACAAAAAlAQAAZHJzL2Uyb0RvYy54bWxQSwUGAAAAAAYABgBZAQAA&#10;RQUAAAAA&#10;">
                <v:fill on="f" focussize="0,0"/>
                <v:stroke on="f"/>
                <v:imagedata o:title=""/>
                <o:lock v:ext="edit" aspectratio="f"/>
                <v:textbox>
                  <w:txbxContent>
                    <w:p w14:paraId="131CB1F3">
                      <w:pPr>
                        <w:keepNext w:val="0"/>
                        <w:keepLines w:val="0"/>
                        <w:widowControl/>
                        <w:suppressLineNumbers w:val="0"/>
                        <w:jc w:val="left"/>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Tipo de producto</w:t>
                      </w:r>
                    </w:p>
                    <w:p w14:paraId="0F9D3AB0"/>
                  </w:txbxContent>
                </v:textbox>
              </v:shape>
            </w:pict>
          </mc:Fallback>
        </mc:AlternateContent>
      </w:r>
    </w:p>
    <w:p w14:paraId="05BBD755">
      <w:pPr>
        <w:pStyle w:val="15"/>
        <w:pageBreakBefore w:val="0"/>
        <w:kinsoku/>
        <w:wordWrap/>
        <w:overflowPunct/>
        <w:topLinePunct w:val="0"/>
        <w:bidi w:val="0"/>
        <w:ind w:firstLine="0" w:firstLineChars="0"/>
        <w:textAlignment w:val="center"/>
        <w:outlineLvl w:val="9"/>
        <w:rPr>
          <w:sz w:val="20"/>
          <w:szCs w:val="20"/>
        </w:rPr>
      </w:pPr>
    </w:p>
    <w:p w14:paraId="4E529AFA">
      <w:pPr>
        <w:keepNext w:val="0"/>
        <w:keepLines w:val="0"/>
        <w:widowControl/>
        <w:suppressLineNumbers w:val="0"/>
        <w:jc w:val="left"/>
        <w:rPr>
          <w:rFonts w:hint="default" w:ascii="Times New Roman" w:hAnsi="Times New Roman" w:eastAsia="宋体" w:cs="Times New Roman"/>
          <w:b w:val="0"/>
          <w:kern w:val="0"/>
          <w:sz w:val="24"/>
          <w:szCs w:val="24"/>
          <w:lang w:val="en-US" w:eastAsia="zh-CN" w:bidi="ar"/>
        </w:rPr>
      </w:pPr>
      <w:r>
        <w:rPr>
          <w:rFonts w:hint="eastAsia" w:ascii="Times New Roman" w:hAnsi="Times New Roman" w:eastAsia="宋体" w:cs="Times New Roman"/>
          <w:b w:val="0"/>
          <w:kern w:val="0"/>
          <w:sz w:val="24"/>
          <w:szCs w:val="24"/>
          <w:lang w:val="en-US" w:eastAsia="zh-CN" w:bidi="ar"/>
        </w:rPr>
        <w:t>Para el modelo G40, G representa el tipo de producto (indica un detector de gas con alarma) y 40 representa el número de serie de diseño (indica un tipo de combinación múltiple).</w:t>
      </w:r>
    </w:p>
    <w:p w14:paraId="17591F5B">
      <w:pPr>
        <w:keepNext w:val="0"/>
        <w:keepLines w:val="0"/>
        <w:widowControl/>
        <w:suppressLineNumbers w:val="0"/>
        <w:jc w:val="left"/>
      </w:pPr>
      <w:r>
        <w:rPr>
          <w:rFonts w:hint="eastAsia" w:ascii="Times New Roman" w:hAnsi="Times New Roman Bold" w:eastAsia="宋体" w:cs="Times New Roman Bold"/>
          <w:b/>
          <w:bCs w:val="0"/>
          <w:kern w:val="0"/>
          <w:sz w:val="24"/>
          <w:szCs w:val="24"/>
          <w:lang w:val="en-US" w:eastAsia="zh-CN" w:bidi="ar"/>
        </w:rPr>
        <w:t>1.3 Unidades de gas y relaciones de conversión</w:t>
      </w:r>
    </w:p>
    <w:p w14:paraId="62D52ACF">
      <w:pPr>
        <w:pageBreakBefore w:val="0"/>
        <w:numPr>
          <w:ilvl w:val="0"/>
          <w:numId w:val="0"/>
        </w:numPr>
        <w:kinsoku/>
        <w:wordWrap/>
        <w:overflowPunct/>
        <w:topLinePunct w:val="0"/>
        <w:bidi w:val="0"/>
        <w:snapToGrid w:val="0"/>
        <w:spacing w:line="300" w:lineRule="auto"/>
        <w:ind w:leftChars="0"/>
        <w:textAlignment w:val="center"/>
        <w:outlineLvl w:val="9"/>
        <w:rPr>
          <w:rFonts w:hint="eastAsia" w:ascii="Times New Roman" w:hAnsi="Times New Roman" w:cs="Times New Roman"/>
          <w:b/>
          <w:sz w:val="20"/>
          <w:szCs w:val="20"/>
          <w:lang w:val="en-US" w:eastAsia="zh-CN"/>
        </w:rPr>
      </w:pPr>
    </w:p>
    <w:p w14:paraId="38434599">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(1) ppm: Se refiere a una parte por millón del contenido porcentual en volumen de gas. Por ejemplo, 5 ppm de monóxido de carbono significa que el aire contiene 5 partes por millón de monóxido de carbono.</w:t>
      </w:r>
    </w:p>
    <w:p w14:paraId="6FD401E2">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(2) LEL: Se refiere a la concentración del límite inferior de explosividad de un gas. La concentración mínima de un gas inflamable en el aire que puede inflamarse al exponerse a una llama abierta se denomina límite inferior de explosividad, abreviado como %LEL (en inglés: Lower Explosion Limit). Por ejemplo, 10% LEL significa que la concentración alcanza el 10% del límite inferior de explosividad del gas. Cuando la concentración de un gas inflamable en el aire alcanza su límite inferior de explosividad, se considera que el nivel de peligro de explosión del entorno de gas inflamable en ese lugar es del 100%, es decir, 100% LEL.</w:t>
      </w:r>
    </w:p>
    <w:p w14:paraId="7BC50D07">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(3) %VOL: Se refiere al porcentaje en volumen de gas. Por ejemplo, 5%VOL significa que un gas específico representa el 5% del volumen total del aire.</w:t>
      </w:r>
    </w:p>
    <w:p w14:paraId="2614BC02">
      <w:pPr>
        <w:keepNext w:val="0"/>
        <w:keepLines w:val="0"/>
        <w:widowControl/>
        <w:suppressLineNumbers w:val="0"/>
        <w:jc w:val="left"/>
      </w:pPr>
      <w:r>
        <w:rPr>
          <w:rFonts w:hint="eastAsia" w:ascii="Times New Roman" w:hAnsi="宋体" w:eastAsia="宋体" w:cs="宋体"/>
          <w:kern w:val="0"/>
          <w:sz w:val="24"/>
          <w:szCs w:val="24"/>
          <w:lang w:val="en-US" w:eastAsia="zh-CN" w:bidi="ar"/>
        </w:rPr>
        <w:t>(4) µmol/mol: Micromoles por mol, una unidad de cantidad de sustancia.</w:t>
      </w:r>
    </w:p>
    <w:p w14:paraId="718D9481">
      <w:pPr>
        <w:pStyle w:val="15"/>
        <w:pageBreakBefore w:val="0"/>
        <w:kinsoku/>
        <w:wordWrap/>
        <w:overflowPunct/>
        <w:topLinePunct w:val="0"/>
        <w:bidi w:val="0"/>
        <w:ind w:firstLine="360"/>
        <w:textAlignment w:val="center"/>
        <w:outlineLvl w:val="9"/>
        <w:rPr>
          <w:rFonts w:hint="eastAsia"/>
          <w:sz w:val="20"/>
          <w:szCs w:val="20"/>
        </w:rPr>
      </w:pPr>
    </w:p>
    <w:p w14:paraId="22F80FA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firstLine="0" w:firstLineChars="0"/>
        <w:jc w:val="left"/>
        <w:rPr>
          <w:rFonts w:hint="default" w:ascii="Times New Roman" w:hAnsi="Times New Roman" w:eastAsia="宋体" w:cs="Times New Roman"/>
          <w:b w:val="0"/>
          <w:color w:val="000000"/>
          <w:kern w:val="0"/>
          <w:sz w:val="24"/>
          <w:szCs w:val="24"/>
          <w:lang w:val="en-US" w:eastAsia="zh-CN" w:bidi="ar"/>
        </w:rPr>
      </w:pPr>
      <w:r>
        <w:rPr>
          <w:rFonts w:hint="eastAsia" w:ascii="Times New Roman" w:hAnsi="Times New Roman" w:eastAsia="宋体" w:cs="Times New Roman"/>
          <w:b w:val="0"/>
          <w:color w:val="000000"/>
          <w:kern w:val="0"/>
          <w:sz w:val="24"/>
          <w:szCs w:val="24"/>
          <w:lang w:val="en-US" w:eastAsia="zh-CN" w:bidi="ar"/>
        </w:rPr>
        <w:t>Interrelación: VOL es el mayor en orden de magnitud entre las tres unidades (ppm, LEL, VOL).</w:t>
      </w:r>
    </w:p>
    <w:p w14:paraId="4A251B7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rPr>
          <w:rFonts w:hint="default" w:ascii="Times New Roman" w:hAnsi="Times New Roman" w:eastAsia="宋体" w:cs="Times New Roman"/>
          <w:b w:val="0"/>
          <w:color w:val="000000"/>
          <w:kern w:val="0"/>
          <w:sz w:val="24"/>
          <w:szCs w:val="24"/>
          <w:lang w:val="en-US" w:eastAsia="zh-CN" w:bidi="ar"/>
        </w:rPr>
      </w:pPr>
    </w:p>
    <w:p w14:paraId="5441A0E9">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Ejemplo: El límite inferior de explosividad del metano es 5%VOL, por lo que el gas metano a 10%LEL corresponde a la siguiente relación:</w:t>
      </w:r>
    </w:p>
    <w:p w14:paraId="1C8477F4">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10%LEL = 0.5%VOL = 5000ppm = 5000×10⁻⁶ = 5000µmol/mol</w:t>
      </w:r>
    </w:p>
    <w:p w14:paraId="5A4A217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rPr>
          <w:rFonts w:hint="default" w:ascii="Times New Roman" w:hAnsi="Times New Roman" w:eastAsia="宋体" w:cs="Times New Roman"/>
          <w:b w:val="0"/>
          <w:color w:val="000000"/>
          <w:kern w:val="0"/>
          <w:sz w:val="24"/>
          <w:szCs w:val="24"/>
          <w:lang w:val="en-US" w:eastAsia="zh-CN" w:bidi="ar"/>
        </w:rPr>
      </w:pPr>
    </w:p>
    <w:p w14:paraId="147CDCA0">
      <w:pPr>
        <w:pageBreakBefore w:val="0"/>
        <w:kinsoku/>
        <w:wordWrap/>
        <w:overflowPunct/>
        <w:topLinePunct w:val="0"/>
        <w:bidi w:val="0"/>
        <w:snapToGrid w:val="0"/>
        <w:spacing w:line="300" w:lineRule="auto"/>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1.4 Parámetros técnicos</w:t>
      </w:r>
    </w:p>
    <w:p w14:paraId="6A5AB70E">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Gases adecuados: gases combustibles/tóxicos/peligrosos/oxígeno, etc.</w:t>
      </w:r>
    </w:p>
    <w:p w14:paraId="3399FB06">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Principios de detección: de tipo catalítico, de tipo electroquímico, de tipo infrarrojo, de tipo láser, de tipo semiconductor, etc.</w:t>
      </w:r>
    </w:p>
    <w:p w14:paraId="0465199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Método de detección: tipo de difusión libre</w:t>
      </w:r>
    </w:p>
    <w:p w14:paraId="463EE0A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Rango de medición: (0–100)%LEL (inflamable); (0–100)µmol/mol (tóxico), etc. (varios rangos disponibles)</w:t>
      </w:r>
    </w:p>
    <w:p w14:paraId="6C79636C">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Resolución: 1% LEL, 1 ppm, 0.1 ppm/%VOL</w:t>
      </w:r>
    </w:p>
    <w:p w14:paraId="4688627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Grado de precisión: ±3%FS (inflamable); ±5 µmol/mol o ±10% (tóxico) (según el gas específico)</w:t>
      </w:r>
    </w:p>
    <w:p w14:paraId="75B8A38E">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Valor de consigna de alarma del límite inferior: 20% LEL (inflamable)</w:t>
      </w:r>
    </w:p>
    <w:p w14:paraId="55A0B924">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Punto de consigna de alarma del límite superior: 50% LEL (inflamable)</w:t>
      </w:r>
    </w:p>
    <w:p w14:paraId="526D7AE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Modo de visualización: LCD</w:t>
      </w:r>
    </w:p>
    <w:p w14:paraId="69D7656B">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Tiempo de respuesta: ≤30s (inflamable) (según el gas específico)</w:t>
      </w:r>
    </w:p>
    <w:p w14:paraId="486A03B7">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Temperatura ambiental: -25°C a +55°C</w:t>
      </w:r>
    </w:p>
    <w:p w14:paraId="3130F10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Humedad relativa: (20～93)%</w:t>
      </w:r>
    </w:p>
    <w:p w14:paraId="5241230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Tensión de funcionamiento: DC 3.7 V</w:t>
      </w:r>
    </w:p>
    <w:p w14:paraId="32D59C2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Capacidad de la batería: batería de litio recargable de 2000 mAh</w:t>
      </w:r>
    </w:p>
    <w:p w14:paraId="16AB0DF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宋体" w:eastAsia="宋体" w:cs="Times New Roman"/>
          <w:color w:val="000000"/>
          <w:kern w:val="2"/>
          <w:sz w:val="20"/>
          <w:szCs w:val="20"/>
          <w:lang w:val="en-US" w:eastAsia="zh-CN" w:bidi="ar-SA"/>
        </w:rPr>
        <w:t>Tiempo de carga: 6h a 8h</w:t>
      </w:r>
    </w:p>
    <w:p w14:paraId="4ACBEEBC">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Horas de funcionamiento: ≥8 h (continuo)</w:t>
      </w:r>
    </w:p>
    <w:p w14:paraId="390C608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Límite de presión: 86 kPa a 106 kPa</w:t>
      </w:r>
    </w:p>
    <w:p w14:paraId="080BBFAD">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Dimensiones externas: largo 122 mm × ancho 68 mm × alto 33 mm</w:t>
      </w:r>
    </w:p>
    <w:p w14:paraId="11EC26F8">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Peso del producto: aproximadamente 210 g</w:t>
      </w:r>
    </w:p>
    <w:p w14:paraId="5149C8B8">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N.º de certificado antideflagrante: CLEx24.1023</w:t>
      </w:r>
    </w:p>
    <w:p w14:paraId="0ED89F4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Grado antideflagrante: Ex ia ⅡC T4 Ga; Ex ib ⅢC T130℃ Db</w:t>
      </w:r>
    </w:p>
    <w:p w14:paraId="677FF966">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Grado de protección: IP65</w:t>
      </w:r>
    </w:p>
    <w:p w14:paraId="6D9B9BA1">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 w:name="_Toc19651"/>
      <w:r>
        <w:rPr>
          <w:rFonts w:hint="eastAsia" w:ascii="Times New Roman" w:hAnsi="黑体" w:eastAsia="黑体" w:cs="黑体"/>
          <w:b w:val="0"/>
          <w:bCs/>
          <w:color w:val="000000"/>
          <w:kern w:val="2"/>
          <w:sz w:val="24"/>
          <w:szCs w:val="24"/>
          <w:lang w:val="en-US" w:eastAsia="zh-CN" w:bidi="ar-SA"/>
        </w:rPr>
        <w:t>II. Diagrama de estructura general del producto</w:t>
      </w:r>
      <w:bookmarkEnd w:id="1"/>
    </w:p>
    <w:p w14:paraId="29EAED2F">
      <w:pPr>
        <w:pStyle w:val="7"/>
        <w:pageBreakBefore w:val="0"/>
        <w:kinsoku/>
        <w:wordWrap/>
        <w:overflowPunct/>
        <w:topLinePunct w:val="0"/>
        <w:bidi w:val="0"/>
        <w:jc w:val="center"/>
        <w:textAlignment w:val="center"/>
        <w:outlineLvl w:val="9"/>
        <w:rPr>
          <w:rFonts w:hint="eastAsia" w:eastAsia="宋体"/>
          <w:b/>
          <w:sz w:val="24"/>
          <w:szCs w:val="24"/>
          <w:lang w:eastAsia="zh-CN"/>
        </w:rPr>
      </w:pPr>
      <w:r>
        <w:rPr>
          <w:rFonts w:hint="eastAsia"/>
          <w:b/>
          <w:sz w:val="24"/>
          <w:szCs w:val="24"/>
        </w:rPr>
        <w:drawing>
          <wp:inline distT="0" distB="0" distL="0" distR="0">
            <wp:extent cx="1813560" cy="2110740"/>
            <wp:effectExtent l="0" t="0" r="15240" b="22860"/>
            <wp:docPr id="135" name="图片 116" descr="G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16" descr="G40"/>
                    <pic:cNvPicPr>
                      <a:picLocks noChangeAspect="1" noChangeArrowheads="1"/>
                    </pic:cNvPicPr>
                  </pic:nvPicPr>
                  <pic:blipFill>
                    <a:blip r:embed="rId12" cstate="print"/>
                    <a:srcRect/>
                    <a:stretch>
                      <a:fillRect/>
                    </a:stretch>
                  </pic:blipFill>
                  <pic:spPr>
                    <a:xfrm>
                      <a:off x="0" y="0"/>
                      <a:ext cx="1813560" cy="2110740"/>
                    </a:xfrm>
                    <a:prstGeom prst="rect">
                      <a:avLst/>
                    </a:prstGeom>
                    <a:noFill/>
                    <a:ln w="9525">
                      <a:noFill/>
                      <a:miter lim="800000"/>
                      <a:headEnd/>
                      <a:tailEnd/>
                    </a:ln>
                  </pic:spPr>
                </pic:pic>
              </a:graphicData>
            </a:graphic>
          </wp:inline>
        </w:drawing>
      </w:r>
      <w:r>
        <w:rPr>
          <w:rFonts w:hint="eastAsia" w:ascii="Times New Roman" w:hAnsi="Times New Roman" w:eastAsia="宋体" w:cs="Times New Roman"/>
          <w:b/>
          <w:kern w:val="2"/>
          <w:sz w:val="24"/>
          <w:szCs w:val="24"/>
          <w:lang w:val="en-US" w:eastAsia="zh-CN" w:bidi="ar-SA"/>
        </w:rPr>
        <w:t xml:space="preserve">    </w:t>
      </w:r>
      <w:r>
        <w:rPr>
          <w:rFonts w:hint="eastAsia"/>
          <w:b/>
          <w:sz w:val="24"/>
          <w:szCs w:val="24"/>
        </w:rPr>
        <w:drawing>
          <wp:inline distT="0" distB="0" distL="0" distR="0">
            <wp:extent cx="1752600" cy="2247900"/>
            <wp:effectExtent l="0" t="0" r="0" b="12700"/>
            <wp:docPr id="134" name="图片 118" descr="G40 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18" descr="G40 背面"/>
                    <pic:cNvPicPr>
                      <a:picLocks noChangeAspect="1" noChangeArrowheads="1"/>
                    </pic:cNvPicPr>
                  </pic:nvPicPr>
                  <pic:blipFill>
                    <a:blip r:embed="rId13" cstate="print"/>
                    <a:srcRect/>
                    <a:stretch>
                      <a:fillRect/>
                    </a:stretch>
                  </pic:blipFill>
                  <pic:spPr>
                    <a:xfrm>
                      <a:off x="0" y="0"/>
                      <a:ext cx="1752600" cy="2247900"/>
                    </a:xfrm>
                    <a:prstGeom prst="rect">
                      <a:avLst/>
                    </a:prstGeom>
                    <a:noFill/>
                    <a:ln w="9525">
                      <a:noFill/>
                      <a:miter lim="800000"/>
                      <a:headEnd/>
                      <a:tailEnd/>
                    </a:ln>
                  </pic:spPr>
                </pic:pic>
              </a:graphicData>
            </a:graphic>
          </wp:inline>
        </w:drawing>
      </w:r>
    </w:p>
    <w:p w14:paraId="64868129">
      <w:pPr>
        <w:numPr>
          <w:ilvl w:val="0"/>
          <w:numId w:val="0"/>
        </w:numPr>
        <w:autoSpaceDE w:val="0"/>
        <w:autoSpaceDN w:val="0"/>
        <w:adjustRightInd w:val="0"/>
        <w:snapToGrid w:val="0"/>
        <w:spacing w:line="300" w:lineRule="auto"/>
        <w:ind w:firstLine="360" w:firstLineChars="200"/>
        <w:rPr>
          <w:rFonts w:hint="eastAsia" w:ascii="微软雅黑" w:hAnsi="微软雅黑" w:eastAsia="微软雅黑" w:cs="微软雅黑"/>
          <w:b/>
          <w:bCs/>
          <w:color w:val="000000"/>
          <w:kern w:val="0"/>
          <w:sz w:val="18"/>
          <w:szCs w:val="18"/>
          <w:highlight w:val="yellow"/>
          <w:lang w:eastAsia="zh-CN"/>
        </w:rPr>
      </w:pPr>
      <w:bookmarkStart w:id="2" w:name="_Toc31593"/>
      <w:r>
        <w:rPr>
          <w:rFonts w:hint="eastAsia" w:ascii="Times New Roman" w:hAnsi="微软雅黑" w:eastAsia="微软雅黑" w:cs="微软雅黑"/>
          <w:b/>
          <w:bCs/>
          <w:color w:val="000000"/>
          <w:kern w:val="0"/>
          <w:sz w:val="18"/>
          <w:szCs w:val="18"/>
          <w:highlight w:val="yellow"/>
          <w:lang w:val="en-US" w:eastAsia="zh-CN" w:bidi="ar-SA"/>
        </w:rPr>
        <w:t>Nota: Este producto emplea detección por difusión natural. La cubierta de calibración incluida es solo para su instalación o colocación durante la calibración del producto y debe retirarse durante la detección normal para evitar fallos de detección y posibles daños personales!</w:t>
      </w:r>
      <w:bookmarkEnd w:id="2"/>
    </w:p>
    <w:p w14:paraId="2A5C330A">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r>
        <w:rPr>
          <w:rFonts w:hint="eastAsia" w:ascii="Times New Roman" w:hAnsi="黑体" w:eastAsia="黑体" w:cs="黑体"/>
          <w:b w:val="0"/>
          <w:bCs/>
          <w:color w:val="000000"/>
          <w:kern w:val="2"/>
          <w:sz w:val="24"/>
          <w:szCs w:val="24"/>
          <w:lang w:val="en-US" w:eastAsia="zh-CN" w:bidi="ar-SA"/>
        </w:rPr>
        <w:t>III. Características y funcionamiento del producto</w:t>
      </w:r>
    </w:p>
    <w:p w14:paraId="590C4210">
      <w:pPr>
        <w:pageBreakBefore w:val="0"/>
        <w:kinsoku/>
        <w:wordWrap/>
        <w:overflowPunct/>
        <w:topLinePunct w:val="0"/>
        <w:bidi w:val="0"/>
        <w:snapToGrid w:val="0"/>
        <w:spacing w:line="300" w:lineRule="auto"/>
        <w:textAlignment w:val="center"/>
        <w:outlineLvl w:val="9"/>
        <w:rPr>
          <w:rFonts w:hint="eastAsia" w:ascii="Times New Roman" w:hAnsi="Times New Roman" w:eastAsia="宋体" w:cs="Times New Roman"/>
          <w:b/>
          <w:sz w:val="20"/>
          <w:szCs w:val="20"/>
          <w:lang w:eastAsia="zh-CN"/>
        </w:rPr>
      </w:pPr>
      <w:r>
        <w:rPr>
          <w:rFonts w:hint="eastAsia" w:ascii="Times New Roman" w:hAnsi="Times New Roman" w:eastAsia="宋体" w:cs="Times New Roman"/>
          <w:b/>
          <w:kern w:val="2"/>
          <w:sz w:val="20"/>
          <w:szCs w:val="20"/>
          <w:lang w:val="en-US" w:eastAsia="zh-CN" w:bidi="ar-SA"/>
        </w:rPr>
        <w:t>3.1 Descripción de la interfaz de visualización del producto</w:t>
      </w:r>
    </w:p>
    <w:p w14:paraId="089B887A">
      <w:pPr>
        <w:pStyle w:val="7"/>
        <w:pageBreakBefore w:val="0"/>
        <w:kinsoku/>
        <w:wordWrap/>
        <w:overflowPunct/>
        <w:topLinePunct w:val="0"/>
        <w:bidi w:val="0"/>
        <w:jc w:val="center"/>
        <w:textAlignment w:val="center"/>
        <w:outlineLvl w:val="9"/>
      </w:pPr>
      <w:r>
        <w:drawing>
          <wp:inline distT="0" distB="0" distL="114300" distR="114300">
            <wp:extent cx="2193925" cy="1576070"/>
            <wp:effectExtent l="0" t="0" r="15875" b="5080"/>
            <wp:docPr id="10" name="图片 42" descr="正常显示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2" descr="正常显示界面（）"/>
                    <pic:cNvPicPr>
                      <a:picLocks noChangeAspect="1" noChangeArrowheads="1"/>
                    </pic:cNvPicPr>
                  </pic:nvPicPr>
                  <pic:blipFill>
                    <a:blip r:embed="rId14" cstate="print"/>
                    <a:srcRect/>
                    <a:stretch>
                      <a:fillRect/>
                    </a:stretch>
                  </pic:blipFill>
                  <pic:spPr>
                    <a:xfrm>
                      <a:off x="0" y="0"/>
                      <a:ext cx="2193925" cy="1576070"/>
                    </a:xfrm>
                    <a:prstGeom prst="rect">
                      <a:avLst/>
                    </a:prstGeom>
                    <a:noFill/>
                    <a:ln w="9525">
                      <a:noFill/>
                      <a:miter lim="800000"/>
                      <a:headEnd/>
                      <a:tailEnd/>
                    </a:ln>
                  </pic:spPr>
                </pic:pic>
              </a:graphicData>
            </a:graphic>
          </wp:inline>
        </w:drawing>
      </w:r>
    </w:p>
    <w:p w14:paraId="127BF52A">
      <w:pPr>
        <w:pStyle w:val="7"/>
        <w:pageBreakBefore w:val="0"/>
        <w:kinsoku/>
        <w:wordWrap/>
        <w:overflowPunct/>
        <w:topLinePunct w:val="0"/>
        <w:bidi w:val="0"/>
        <w:jc w:val="center"/>
        <w:textAlignment w:val="center"/>
        <w:outlineLvl w:val="9"/>
        <w:rPr>
          <w:b/>
          <w:bCs/>
          <w:color w:val="000000"/>
          <w:sz w:val="24"/>
        </w:rPr>
      </w:pPr>
      <w:r>
        <w:rPr>
          <w:b/>
          <w:bCs/>
          <w:color w:val="000000"/>
          <w:sz w:val="24"/>
        </w:rPr>
        <w:drawing>
          <wp:inline distT="0" distB="0" distL="114300" distR="114300">
            <wp:extent cx="2262505" cy="974725"/>
            <wp:effectExtent l="0" t="0" r="4445" b="15875"/>
            <wp:docPr id="1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
                    <pic:cNvPicPr>
                      <a:picLocks noChangeAspect="1"/>
                    </pic:cNvPicPr>
                  </pic:nvPicPr>
                  <pic:blipFill>
                    <a:blip r:embed="rId15"/>
                    <a:stretch>
                      <a:fillRect/>
                    </a:stretch>
                  </pic:blipFill>
                  <pic:spPr>
                    <a:xfrm>
                      <a:off x="0" y="0"/>
                      <a:ext cx="2262505" cy="974725"/>
                    </a:xfrm>
                    <a:prstGeom prst="rect">
                      <a:avLst/>
                    </a:prstGeom>
                    <a:noFill/>
                    <a:ln>
                      <a:noFill/>
                    </a:ln>
                  </pic:spPr>
                </pic:pic>
              </a:graphicData>
            </a:graphic>
          </wp:inline>
        </w:drawing>
      </w:r>
    </w:p>
    <w:p w14:paraId="700A279E">
      <w:pPr>
        <w:pageBreakBefore w:val="0"/>
        <w:kinsoku/>
        <w:wordWrap/>
        <w:overflowPunct/>
        <w:topLinePunct w:val="0"/>
        <w:bidi w:val="0"/>
        <w:snapToGrid w:val="0"/>
        <w:spacing w:line="300" w:lineRule="auto"/>
        <w:textAlignment w:val="center"/>
        <w:outlineLvl w:val="9"/>
        <w:rPr>
          <w:rFonts w:hint="eastAsia" w:ascii="Times New Roman" w:hAnsi="Times New Roman" w:cs="Times New Roman"/>
          <w:b/>
          <w:sz w:val="20"/>
          <w:szCs w:val="20"/>
          <w:lang w:val="en-US" w:eastAsia="zh-CN"/>
        </w:rPr>
      </w:pPr>
      <w:r>
        <w:rPr>
          <w:rFonts w:hint="eastAsia" w:ascii="Times New Roman" w:hAnsi="Times New Roman" w:eastAsia="宋体" w:cs="Times New Roman"/>
          <w:b/>
          <w:kern w:val="2"/>
          <w:sz w:val="20"/>
          <w:szCs w:val="20"/>
          <w:lang w:val="en-US" w:eastAsia="zh-CN" w:bidi="ar-SA"/>
        </w:rPr>
        <w:t>3.2 Descripción de las funciones de las teclas</w:t>
      </w:r>
    </w:p>
    <w:p w14:paraId="0F305E26">
      <w:pPr>
        <w:pStyle w:val="7"/>
        <w:pageBreakBefore w:val="0"/>
        <w:kinsoku/>
        <w:wordWrap/>
        <w:overflowPunct/>
        <w:topLinePunct w:val="0"/>
        <w:bidi w:val="0"/>
        <w:jc w:val="center"/>
        <w:textAlignment w:val="center"/>
        <w:outlineLvl w:val="9"/>
        <w:rPr>
          <w:b/>
          <w:bCs/>
          <w:color w:val="000000"/>
          <w:sz w:val="24"/>
        </w:rPr>
      </w:pPr>
      <w:r>
        <w:drawing>
          <wp:inline distT="0" distB="0" distL="114300" distR="114300">
            <wp:extent cx="3052445" cy="1330325"/>
            <wp:effectExtent l="0" t="0" r="14605" b="3175"/>
            <wp:docPr id="3" name="图片 44" descr="按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4" descr="按键"/>
                    <pic:cNvPicPr>
                      <a:picLocks noChangeAspect="1" noChangeArrowheads="1"/>
                    </pic:cNvPicPr>
                  </pic:nvPicPr>
                  <pic:blipFill>
                    <a:blip r:embed="rId16" cstate="print"/>
                    <a:srcRect/>
                    <a:stretch>
                      <a:fillRect/>
                    </a:stretch>
                  </pic:blipFill>
                  <pic:spPr>
                    <a:xfrm>
                      <a:off x="0" y="0"/>
                      <a:ext cx="3052445" cy="1330325"/>
                    </a:xfrm>
                    <a:prstGeom prst="rect">
                      <a:avLst/>
                    </a:prstGeom>
                    <a:noFill/>
                    <a:ln w="9525">
                      <a:noFill/>
                      <a:miter lim="800000"/>
                      <a:headEnd/>
                      <a:tailEnd/>
                    </a:ln>
                  </pic:spPr>
                </pic:pic>
              </a:graphicData>
            </a:graphic>
          </wp:inline>
        </w:drawing>
      </w:r>
    </w:p>
    <w:p w14:paraId="2A3CF901">
      <w:pPr>
        <w:pStyle w:val="7"/>
        <w:pageBreakBefore w:val="0"/>
        <w:tabs>
          <w:tab w:val="left" w:pos="5408"/>
        </w:tabs>
        <w:kinsoku/>
        <w:wordWrap/>
        <w:overflowPunct/>
        <w:topLinePunct w:val="0"/>
        <w:bidi w:val="0"/>
        <w:jc w:val="center"/>
        <w:textAlignment w:val="center"/>
        <w:outlineLvl w:val="9"/>
        <w:rPr>
          <w:b/>
          <w:bCs/>
          <w:color w:val="000000"/>
          <w:sz w:val="24"/>
        </w:rPr>
      </w:pPr>
      <w:bookmarkStart w:id="3" w:name="_1471876403"/>
      <w:bookmarkEnd w:id="3"/>
      <w:bookmarkStart w:id="4" w:name="_1471955935"/>
      <w:bookmarkEnd w:id="4"/>
      <w:bookmarkStart w:id="5" w:name="_1471876202"/>
      <w:bookmarkEnd w:id="5"/>
      <w:bookmarkStart w:id="6" w:name="_1471951554"/>
      <w:bookmarkEnd w:id="6"/>
      <w:bookmarkStart w:id="7" w:name="_1471954831"/>
      <w:bookmarkEnd w:id="7"/>
      <w:bookmarkStart w:id="8" w:name="_1471876214"/>
      <w:bookmarkEnd w:id="8"/>
      <w:r>
        <w:rPr>
          <w:b/>
          <w:bCs/>
          <w:color w:val="000000"/>
          <w:sz w:val="24"/>
        </w:rPr>
        <w:drawing>
          <wp:inline distT="0" distB="0" distL="114300" distR="114300">
            <wp:extent cx="3865880" cy="2444115"/>
            <wp:effectExtent l="0" t="0" r="20320" b="19685"/>
            <wp:docPr id="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
                    <pic:cNvPicPr>
                      <a:picLocks noChangeAspect="1"/>
                    </pic:cNvPicPr>
                  </pic:nvPicPr>
                  <pic:blipFill>
                    <a:blip r:embed="rId17"/>
                    <a:stretch>
                      <a:fillRect/>
                    </a:stretch>
                  </pic:blipFill>
                  <pic:spPr>
                    <a:xfrm>
                      <a:off x="0" y="0"/>
                      <a:ext cx="3865880" cy="2444115"/>
                    </a:xfrm>
                    <a:prstGeom prst="rect">
                      <a:avLst/>
                    </a:prstGeom>
                    <a:noFill/>
                    <a:ln>
                      <a:noFill/>
                    </a:ln>
                  </pic:spPr>
                </pic:pic>
              </a:graphicData>
            </a:graphic>
          </wp:inline>
        </w:drawing>
      </w:r>
    </w:p>
    <w:p w14:paraId="396F08ED">
      <w:pPr>
        <w:pageBreakBefore w:val="0"/>
        <w:kinsoku/>
        <w:wordWrap/>
        <w:overflowPunct/>
        <w:topLinePunct w:val="0"/>
        <w:bidi w:val="0"/>
        <w:snapToGrid w:val="0"/>
        <w:spacing w:line="300" w:lineRule="auto"/>
        <w:textAlignment w:val="center"/>
        <w:outlineLvl w:val="9"/>
        <w:rPr>
          <w:rFonts w:hint="eastAsia" w:ascii="Times New Roman" w:hAnsi="Times New Roman" w:cs="Times New Roman"/>
          <w:b/>
          <w:sz w:val="20"/>
          <w:szCs w:val="20"/>
          <w:lang w:val="en-US" w:eastAsia="zh-CN"/>
        </w:rPr>
      </w:pPr>
      <w:r>
        <w:rPr>
          <w:rFonts w:hint="eastAsia" w:ascii="Times New Roman" w:hAnsi="Times New Roman" w:eastAsia="宋体" w:cs="Times New Roman"/>
          <w:b/>
          <w:kern w:val="2"/>
          <w:sz w:val="20"/>
          <w:szCs w:val="20"/>
          <w:lang w:val="en-US" w:eastAsia="zh-CN" w:bidi="ar-SA"/>
        </w:rPr>
        <w:t>3.3 Instrucciones de arranque del producto</w:t>
      </w:r>
    </w:p>
    <w:p w14:paraId="64FF486F">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 xml:space="preserve">Cuando el detector está apagado, pulse la tecla "" durante aproximadamente 5 segundos. Se oirá un "pitido" prolongado y, a continuación, se encenderá la retroiluminación de la pantalla. El detector pasa entonces del estado apagado al estado de arranque, mostrando una interfaz de bienvenida e iniciando una autocomprobación. Durante este proceso, el detector activa automáticamente las alarmas sonora, luminosa y por vibración. El usuario puede verificar la integridad de funcionamiento del detector basándose en estos indicadores.</w:t>
      </w:r>
      <w:r>
        <w:rPr>
          <w:rFonts w:hint="eastAsia" w:ascii="宋体" w:hAnsi="宋体"/>
          <w:color w:val="000000"/>
          <w:sz w:val="20"/>
          <w:szCs w:val="20"/>
        </w:rPr>
        <w:drawing>
          <wp:inline distT="0" distB="0" distL="0" distR="0">
            <wp:extent cx="190500" cy="175260"/>
            <wp:effectExtent l="0" t="0" r="12700" b="2540"/>
            <wp:docPr id="137" name="图片 2"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p>
    <w:p w14:paraId="432A6C09">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Interfaz de visualización de bienvenida y de versión e interfaz de arranque:</w:t>
      </w:r>
    </w:p>
    <w:p w14:paraId="21A4E189">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1082040" cy="723900"/>
            <wp:effectExtent l="0" t="0" r="10160" b="12700"/>
            <wp:docPr id="140" name="图片 4" descr="启动画面1"/>
            <wp:cNvGraphicFramePr/>
            <a:graphic xmlns:a="http://schemas.openxmlformats.org/drawingml/2006/main">
              <a:graphicData uri="http://schemas.openxmlformats.org/drawingml/2006/picture">
                <pic:pic xmlns:pic="http://schemas.openxmlformats.org/drawingml/2006/picture">
                  <pic:nvPicPr>
                    <pic:cNvPr id="140" name="图片 4" descr="启动画面1"/>
                    <pic:cNvPicPr preferRelativeResize="0">
                      <a:picLocks noChangeArrowheads="1"/>
                    </pic:cNvPicPr>
                  </pic:nvPicPr>
                  <pic:blipFill>
                    <a:blip r:embed="rId19"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1082040" cy="716280"/>
            <wp:effectExtent l="0" t="0" r="10160" b="20320"/>
            <wp:docPr id="139" name="图片 5" descr="启动画面2"/>
            <wp:cNvGraphicFramePr/>
            <a:graphic xmlns:a="http://schemas.openxmlformats.org/drawingml/2006/main">
              <a:graphicData uri="http://schemas.openxmlformats.org/drawingml/2006/picture">
                <pic:pic xmlns:pic="http://schemas.openxmlformats.org/drawingml/2006/picture">
                  <pic:nvPicPr>
                    <pic:cNvPr id="139" name="图片 5" descr="启动画面2"/>
                    <pic:cNvPicPr preferRelativeResize="0">
                      <a:picLocks noChangeArrowheads="1"/>
                    </pic:cNvPicPr>
                  </pic:nvPicPr>
                  <pic:blipFill>
                    <a:blip r:embed="rId20" cstate="print"/>
                    <a:srcRect/>
                    <a:stretch>
                      <a:fillRect/>
                    </a:stretch>
                  </pic:blipFill>
                  <pic:spPr>
                    <a:xfrm>
                      <a:off x="0" y="0"/>
                      <a:ext cx="1082040" cy="716280"/>
                    </a:xfrm>
                    <a:prstGeom prst="rect">
                      <a:avLst/>
                    </a:prstGeom>
                    <a:noFill/>
                    <a:ln w="9525">
                      <a:noFill/>
                      <a:miter lim="800000"/>
                      <a:headEnd/>
                      <a:tailEnd/>
                    </a:ln>
                  </pic:spPr>
                </pic:pic>
              </a:graphicData>
            </a:graphic>
          </wp:inline>
        </w:drawing>
      </w:r>
    </w:p>
    <w:p w14:paraId="70AB98F4">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Interfaz de autocomprobación:</w:t>
      </w:r>
    </w:p>
    <w:p w14:paraId="13A1C6B5">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1082040" cy="723900"/>
            <wp:effectExtent l="0" t="0" r="10160" b="12700"/>
            <wp:docPr id="144" name="图片 6" descr="启动画面3"/>
            <wp:cNvGraphicFramePr/>
            <a:graphic xmlns:a="http://schemas.openxmlformats.org/drawingml/2006/main">
              <a:graphicData uri="http://schemas.openxmlformats.org/drawingml/2006/picture">
                <pic:pic xmlns:pic="http://schemas.openxmlformats.org/drawingml/2006/picture">
                  <pic:nvPicPr>
                    <pic:cNvPr id="144" name="图片 6" descr="启动画面3"/>
                    <pic:cNvPicPr preferRelativeResize="0">
                      <a:picLocks noChangeArrowheads="1"/>
                    </pic:cNvPicPr>
                  </pic:nvPicPr>
                  <pic:blipFill>
                    <a:blip r:embed="rId21"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1082040" cy="723900"/>
            <wp:effectExtent l="0" t="0" r="10160" b="12700"/>
            <wp:docPr id="145" name="图片 7" descr="启动画面4"/>
            <wp:cNvGraphicFramePr/>
            <a:graphic xmlns:a="http://schemas.openxmlformats.org/drawingml/2006/main">
              <a:graphicData uri="http://schemas.openxmlformats.org/drawingml/2006/picture">
                <pic:pic xmlns:pic="http://schemas.openxmlformats.org/drawingml/2006/picture">
                  <pic:nvPicPr>
                    <pic:cNvPr id="145" name="图片 7" descr="启动画面4"/>
                    <pic:cNvPicPr preferRelativeResize="0">
                      <a:picLocks noChangeArrowheads="1"/>
                    </pic:cNvPicPr>
                  </pic:nvPicPr>
                  <pic:blipFill>
                    <a:blip r:embed="rId22"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1082040" cy="716280"/>
            <wp:effectExtent l="0" t="0" r="10160" b="20320"/>
            <wp:docPr id="143" name="图片 8" descr="启动画面5"/>
            <wp:cNvGraphicFramePr/>
            <a:graphic xmlns:a="http://schemas.openxmlformats.org/drawingml/2006/main">
              <a:graphicData uri="http://schemas.openxmlformats.org/drawingml/2006/picture">
                <pic:pic xmlns:pic="http://schemas.openxmlformats.org/drawingml/2006/picture">
                  <pic:nvPicPr>
                    <pic:cNvPr id="143" name="图片 8" descr="启动画面5"/>
                    <pic:cNvPicPr preferRelativeResize="0">
                      <a:picLocks noChangeArrowheads="1"/>
                    </pic:cNvPicPr>
                  </pic:nvPicPr>
                  <pic:blipFill>
                    <a:blip r:embed="rId23" cstate="print"/>
                    <a:srcRect/>
                    <a:stretch>
                      <a:fillRect/>
                    </a:stretch>
                  </pic:blipFill>
                  <pic:spPr>
                    <a:xfrm>
                      <a:off x="0" y="0"/>
                      <a:ext cx="1082040" cy="716280"/>
                    </a:xfrm>
                    <a:prstGeom prst="rect">
                      <a:avLst/>
                    </a:prstGeom>
                    <a:noFill/>
                    <a:ln w="9525">
                      <a:noFill/>
                      <a:miter lim="800000"/>
                      <a:headEnd/>
                      <a:tailEnd/>
                    </a:ln>
                  </pic:spPr>
                </pic:pic>
              </a:graphicData>
            </a:graphic>
          </wp:inline>
        </w:drawing>
      </w:r>
    </w:p>
    <w:p w14:paraId="45A46470">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Interfaz de vista previa de la información:</w:t>
      </w:r>
    </w:p>
    <w:p w14:paraId="43FECC4A">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830580" cy="609600"/>
            <wp:effectExtent l="0" t="0" r="7620" b="0"/>
            <wp:docPr id="150" name="图片 23" descr="启动画面6"/>
            <wp:cNvGraphicFramePr/>
            <a:graphic xmlns:a="http://schemas.openxmlformats.org/drawingml/2006/main">
              <a:graphicData uri="http://schemas.openxmlformats.org/drawingml/2006/picture">
                <pic:pic xmlns:pic="http://schemas.openxmlformats.org/drawingml/2006/picture">
                  <pic:nvPicPr>
                    <pic:cNvPr id="150" name="图片 23" descr="启动画面6"/>
                    <pic:cNvPicPr preferRelativeResize="0">
                      <a:picLocks noChangeArrowheads="1"/>
                    </pic:cNvPicPr>
                  </pic:nvPicPr>
                  <pic:blipFill>
                    <a:blip r:embed="rId24"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830580" cy="609600"/>
            <wp:effectExtent l="0" t="0" r="7620" b="0"/>
            <wp:docPr id="151" name="图片 24" descr="启动画面7"/>
            <wp:cNvGraphicFramePr/>
            <a:graphic xmlns:a="http://schemas.openxmlformats.org/drawingml/2006/main">
              <a:graphicData uri="http://schemas.openxmlformats.org/drawingml/2006/picture">
                <pic:pic xmlns:pic="http://schemas.openxmlformats.org/drawingml/2006/picture">
                  <pic:nvPicPr>
                    <pic:cNvPr id="151" name="图片 24" descr="启动画面7"/>
                    <pic:cNvPicPr preferRelativeResize="0">
                      <a:picLocks noChangeArrowheads="1"/>
                    </pic:cNvPicPr>
                  </pic:nvPicPr>
                  <pic:blipFill>
                    <a:blip r:embed="rId25"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830580" cy="609600"/>
            <wp:effectExtent l="0" t="0" r="7620" b="0"/>
            <wp:docPr id="148" name="图片 25" descr="启动画面8"/>
            <wp:cNvGraphicFramePr/>
            <a:graphic xmlns:a="http://schemas.openxmlformats.org/drawingml/2006/main">
              <a:graphicData uri="http://schemas.openxmlformats.org/drawingml/2006/picture">
                <pic:pic xmlns:pic="http://schemas.openxmlformats.org/drawingml/2006/picture">
                  <pic:nvPicPr>
                    <pic:cNvPr id="148" name="图片 25" descr="启动画面8"/>
                    <pic:cNvPicPr preferRelativeResize="0">
                      <a:picLocks noChangeArrowheads="1"/>
                    </pic:cNvPicPr>
                  </pic:nvPicPr>
                  <pic:blipFill>
                    <a:blip r:embed="rId26"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830580" cy="609600"/>
            <wp:effectExtent l="0" t="0" r="7620" b="0"/>
            <wp:docPr id="149" name="图片 26" descr="启动画面10"/>
            <wp:cNvGraphicFramePr/>
            <a:graphic xmlns:a="http://schemas.openxmlformats.org/drawingml/2006/main">
              <a:graphicData uri="http://schemas.openxmlformats.org/drawingml/2006/picture">
                <pic:pic xmlns:pic="http://schemas.openxmlformats.org/drawingml/2006/picture">
                  <pic:nvPicPr>
                    <pic:cNvPr id="149" name="图片 26" descr="启动画面10"/>
                    <pic:cNvPicPr preferRelativeResize="0">
                      <a:picLocks noChangeArrowheads="1"/>
                    </pic:cNvPicPr>
                  </pic:nvPicPr>
                  <pic:blipFill>
                    <a:blip r:embed="rId27" cstate="print"/>
                    <a:srcRect/>
                    <a:stretch>
                      <a:fillRect/>
                    </a:stretch>
                  </pic:blipFill>
                  <pic:spPr>
                    <a:xfrm>
                      <a:off x="0" y="0"/>
                      <a:ext cx="830580" cy="609600"/>
                    </a:xfrm>
                    <a:prstGeom prst="rect">
                      <a:avLst/>
                    </a:prstGeom>
                    <a:noFill/>
                    <a:ln w="9525">
                      <a:noFill/>
                      <a:miter lim="800000"/>
                      <a:headEnd/>
                      <a:tailEnd/>
                    </a:ln>
                  </pic:spPr>
                </pic:pic>
              </a:graphicData>
            </a:graphic>
          </wp:inline>
        </w:drawing>
      </w:r>
    </w:p>
    <w:p w14:paraId="5BE075A0">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Interfaz de monitorización normal:</w:t>
      </w:r>
    </w:p>
    <w:p w14:paraId="79173824">
      <w:pPr>
        <w:pageBreakBefore w:val="0"/>
        <w:kinsoku/>
        <w:wordWrap/>
        <w:overflowPunct/>
        <w:topLinePunct w:val="0"/>
        <w:bidi w:val="0"/>
        <w:snapToGrid w:val="0"/>
        <w:spacing w:line="300" w:lineRule="auto"/>
        <w:jc w:val="center"/>
        <w:textAlignment w:val="center"/>
        <w:outlineLvl w:val="9"/>
        <w:rPr>
          <w:color w:val="000000"/>
          <w:sz w:val="20"/>
          <w:szCs w:val="20"/>
        </w:rPr>
      </w:pPr>
      <w:r>
        <w:rPr>
          <w:color w:val="000000"/>
          <w:sz w:val="20"/>
          <w:szCs w:val="20"/>
        </w:rPr>
        <w:drawing>
          <wp:inline distT="0" distB="0" distL="0" distR="0">
            <wp:extent cx="1082040" cy="723900"/>
            <wp:effectExtent l="19050" t="0" r="3810" b="0"/>
            <wp:docPr id="15" name="图片 27" descr="正常监控界面"/>
            <wp:cNvGraphicFramePr/>
            <a:graphic xmlns:a="http://schemas.openxmlformats.org/drawingml/2006/main">
              <a:graphicData uri="http://schemas.openxmlformats.org/drawingml/2006/picture">
                <pic:pic xmlns:pic="http://schemas.openxmlformats.org/drawingml/2006/picture">
                  <pic:nvPicPr>
                    <pic:cNvPr id="15" name="图片 27" descr="正常监控界面"/>
                    <pic:cNvPicPr preferRelativeResize="0">
                      <a:picLocks noChangeArrowheads="1"/>
                    </pic:cNvPicPr>
                  </pic:nvPicPr>
                  <pic:blipFill>
                    <a:blip r:embed="rId28" cstate="print"/>
                    <a:srcRect/>
                    <a:stretch>
                      <a:fillRect/>
                    </a:stretch>
                  </pic:blipFill>
                  <pic:spPr>
                    <a:xfrm>
                      <a:off x="0" y="0"/>
                      <a:ext cx="1082040" cy="723900"/>
                    </a:xfrm>
                    <a:prstGeom prst="rect">
                      <a:avLst/>
                    </a:prstGeom>
                    <a:noFill/>
                    <a:ln w="9525">
                      <a:noFill/>
                      <a:miter lim="800000"/>
                      <a:headEnd/>
                      <a:tailEnd/>
                    </a:ln>
                  </pic:spPr>
                </pic:pic>
              </a:graphicData>
            </a:graphic>
          </wp:inline>
        </w:drawing>
      </w:r>
    </w:p>
    <w:p w14:paraId="6B3ECD9E">
      <w:pPr>
        <w:pStyle w:val="7"/>
        <w:pageBreakBefore w:val="0"/>
        <w:kinsoku/>
        <w:wordWrap/>
        <w:overflowPunct/>
        <w:topLinePunct w:val="0"/>
        <w:bidi w:val="0"/>
        <w:jc w:val="both"/>
        <w:textAlignment w:val="center"/>
        <w:outlineLvl w:val="9"/>
        <w:rPr>
          <w:rFonts w:hint="eastAsia" w:eastAsia="宋体"/>
          <w:color w:val="000000"/>
          <w:sz w:val="20"/>
          <w:szCs w:val="20"/>
          <w:lang w:eastAsia="zh-CN"/>
        </w:rPr>
      </w:pPr>
      <w:r>
        <w:rPr>
          <w:rFonts w:hint="eastAsia" w:ascii="Times New Roman" w:hAnsi="Times New Roman" w:eastAsia="宋体" w:cs="Times New Roman"/>
          <w:b/>
          <w:bCs/>
          <w:color w:val="000000"/>
          <w:kern w:val="2"/>
          <w:sz w:val="20"/>
          <w:szCs w:val="20"/>
          <w:lang w:val="en-US" w:eastAsia="zh-CN" w:bidi="ar-SA"/>
        </w:rPr>
        <w:t>3.4 Instrucciones de apagado del producto</w:t>
      </w:r>
    </w:p>
    <w:p w14:paraId="21A03F3F">
      <w:pPr>
        <w:pageBreakBefore w:val="0"/>
        <w:kinsoku/>
        <w:wordWrap/>
        <w:overflowPunct/>
        <w:topLinePunct w:val="0"/>
        <w:bidi w:val="0"/>
        <w:snapToGrid w:val="0"/>
        <w:spacing w:line="300" w:lineRule="auto"/>
        <w:ind w:firstLine="420"/>
        <w:jc w:val="left"/>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Cuando el detector se encuentra en el modo de detección normal, mantener pulsada la tecla "" durante más de aproximadamente 5 segundos hará que el zumbador emita sonidos «beep» continuos, seguidos del apagado de la pantalla. El detector entra entonces en un estado de apagado sin que se muestre información en la pantalla.</w:t>
      </w:r>
      <w:r>
        <w:rPr>
          <w:rFonts w:hint="eastAsia" w:ascii="宋体" w:hAnsi="宋体"/>
          <w:color w:val="000000"/>
          <w:sz w:val="20"/>
          <w:szCs w:val="20"/>
        </w:rPr>
        <w:drawing>
          <wp:inline distT="0" distB="0" distL="0" distR="0">
            <wp:extent cx="190500" cy="175260"/>
            <wp:effectExtent l="0" t="0" r="12700" b="2540"/>
            <wp:docPr id="153" name="图片 2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p>
    <w:p w14:paraId="1F8524E7">
      <w:pPr>
        <w:pStyle w:val="7"/>
        <w:pageBreakBefore w:val="0"/>
        <w:kinsoku/>
        <w:wordWrap/>
        <w:overflowPunct/>
        <w:topLinePunct w:val="0"/>
        <w:bidi w:val="0"/>
        <w:jc w:val="both"/>
        <w:textAlignment w:val="center"/>
        <w:outlineLvl w:val="9"/>
        <w:rPr>
          <w:rFonts w:hint="eastAsia" w:eastAsia="宋体"/>
          <w:b/>
          <w:bCs/>
          <w:color w:val="000000"/>
          <w:sz w:val="20"/>
          <w:szCs w:val="20"/>
          <w:lang w:eastAsia="zh-CN"/>
        </w:rPr>
      </w:pPr>
      <w:r>
        <w:rPr>
          <w:rFonts w:hint="eastAsia" w:ascii="Times New Roman" w:hAnsi="Times New Roman" w:eastAsia="宋体" w:cs="Times New Roman"/>
          <w:b/>
          <w:bCs/>
          <w:color w:val="000000"/>
          <w:kern w:val="2"/>
          <w:sz w:val="20"/>
          <w:szCs w:val="20"/>
          <w:lang w:val="en-US" w:eastAsia="zh-CN" w:bidi="ar-SA"/>
        </w:rPr>
        <w:t>3.5 Instrucciones de operación del menú del producto</w:t>
      </w:r>
    </w:p>
    <w:p w14:paraId="757F722B">
      <w:pPr>
        <w:pageBreakBefore w:val="0"/>
        <w:kinsoku/>
        <w:wordWrap/>
        <w:overflowPunct/>
        <w:topLinePunct w:val="0"/>
        <w:bidi w:val="0"/>
        <w:snapToGrid w:val="0"/>
        <w:spacing w:line="312" w:lineRule="auto"/>
        <w:ind w:firstLine="400" w:firstLineChars="200"/>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Consulte la tabla siguiente para ver las descripciones de las funciones del menú de usuario:</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5221"/>
      </w:tblGrid>
      <w:tr w14:paraId="61EA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35" w:type="pct"/>
            <w:vAlign w:val="center"/>
          </w:tcPr>
          <w:p w14:paraId="66367620">
            <w:pPr>
              <w:pStyle w:val="7"/>
              <w:pageBreakBefore w:val="0"/>
              <w:kinsoku/>
              <w:wordWrap/>
              <w:overflowPunct/>
              <w:topLinePunct w:val="0"/>
              <w:bidi w:val="0"/>
              <w:jc w:val="center"/>
              <w:textAlignment w:val="center"/>
              <w:outlineLvl w:val="9"/>
              <w:rPr>
                <w:rFonts w:hint="eastAsia" w:eastAsia="宋体"/>
                <w:b/>
                <w:bCs/>
                <w:sz w:val="20"/>
                <w:szCs w:val="20"/>
                <w:lang w:eastAsia="zh-CN"/>
              </w:rPr>
            </w:pPr>
            <w:r>
              <w:rPr>
                <w:rFonts w:hint="eastAsia" w:ascii="Times New Roman" w:hAnsi="Times New Roman" w:eastAsia="宋体" w:cs="Times New Roman"/>
                <w:b/>
                <w:bCs/>
                <w:kern w:val="2"/>
                <w:sz w:val="20"/>
                <w:szCs w:val="20"/>
                <w:lang w:val="en-US" w:eastAsia="zh-CN" w:bidi="ar-SA"/>
              </w:rPr>
              <w:t>menú</w:t>
            </w:r>
          </w:p>
        </w:tc>
        <w:tc>
          <w:tcPr>
            <w:tcW w:w="3764" w:type="pct"/>
            <w:vAlign w:val="center"/>
          </w:tcPr>
          <w:p w14:paraId="5411A0FB">
            <w:pPr>
              <w:pStyle w:val="7"/>
              <w:pageBreakBefore w:val="0"/>
              <w:kinsoku/>
              <w:wordWrap/>
              <w:overflowPunct/>
              <w:topLinePunct w:val="0"/>
              <w:bidi w:val="0"/>
              <w:jc w:val="center"/>
              <w:textAlignment w:val="center"/>
              <w:outlineLvl w:val="9"/>
              <w:rPr>
                <w:rFonts w:hint="eastAsia" w:eastAsia="宋体"/>
                <w:b/>
                <w:bCs/>
                <w:sz w:val="20"/>
                <w:szCs w:val="20"/>
                <w:lang w:eastAsia="zh-CN"/>
              </w:rPr>
            </w:pPr>
            <w:r>
              <w:rPr>
                <w:rFonts w:hint="eastAsia" w:ascii="Times New Roman" w:hAnsi="Times New Roman" w:eastAsia="宋体" w:cs="Times New Roman"/>
                <w:b/>
                <w:bCs/>
                <w:kern w:val="2"/>
                <w:sz w:val="20"/>
                <w:szCs w:val="20"/>
                <w:lang w:val="en-US" w:eastAsia="zh-CN" w:bidi="ar-SA"/>
              </w:rPr>
              <w:t>declaración de función</w:t>
            </w:r>
          </w:p>
        </w:tc>
      </w:tr>
      <w:tr w14:paraId="18CB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65AA602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Registro de alarmas</w:t>
            </w:r>
          </w:p>
        </w:tc>
        <w:tc>
          <w:tcPr>
            <w:tcW w:w="3764" w:type="pct"/>
            <w:vAlign w:val="center"/>
          </w:tcPr>
          <w:p w14:paraId="1E30DBEF">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Ver el estado de alarma de cada gas</w:t>
            </w:r>
          </w:p>
        </w:tc>
      </w:tr>
      <w:tr w14:paraId="7CBB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38E291B8">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Configuración de alarma baja</w:t>
            </w:r>
          </w:p>
        </w:tc>
        <w:tc>
          <w:tcPr>
            <w:tcW w:w="3764" w:type="pct"/>
            <w:vAlign w:val="center"/>
          </w:tcPr>
          <w:p w14:paraId="47376149">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Ajustar el punto de consigna de alarma de primer nivel para cada tipo de gas</w:t>
            </w:r>
          </w:p>
        </w:tc>
      </w:tr>
      <w:tr w14:paraId="259B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14AA629C">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Configuración de alarma alta</w:t>
            </w:r>
          </w:p>
        </w:tc>
        <w:tc>
          <w:tcPr>
            <w:tcW w:w="3764" w:type="pct"/>
            <w:vAlign w:val="center"/>
          </w:tcPr>
          <w:p w14:paraId="1816740A">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Ajustar el punto de consigna de alarma de segundo nivel para cada tipo de gas</w:t>
            </w:r>
          </w:p>
        </w:tc>
      </w:tr>
      <w:tr w14:paraId="0A68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5284FBB3">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Ajuste de cero</w:t>
            </w:r>
          </w:p>
        </w:tc>
        <w:tc>
          <w:tcPr>
            <w:tcW w:w="3764" w:type="pct"/>
            <w:vAlign w:val="center"/>
          </w:tcPr>
          <w:p w14:paraId="491B2F86">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Cuando el valor en aire limpio no es cero, restablecer a cero.</w:t>
            </w:r>
          </w:p>
        </w:tc>
      </w:tr>
      <w:tr w14:paraId="5D92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43D686EE">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Configuración de calibración</w:t>
            </w:r>
          </w:p>
        </w:tc>
        <w:tc>
          <w:tcPr>
            <w:tcW w:w="3764" w:type="pct"/>
            <w:vAlign w:val="center"/>
          </w:tcPr>
          <w:p w14:paraId="2B7CE6F7">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Para la calibración cuando existe un error entre los valores de gas medidos y los valores reales</w:t>
            </w:r>
          </w:p>
        </w:tc>
      </w:tr>
      <w:tr w14:paraId="2433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721558EA">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Configuración de hora</w:t>
            </w:r>
          </w:p>
        </w:tc>
        <w:tc>
          <w:tcPr>
            <w:tcW w:w="3764" w:type="pct"/>
            <w:vAlign w:val="center"/>
          </w:tcPr>
          <w:p w14:paraId="1359A614">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Calibrar la hora para que coincida con la hora real</w:t>
            </w:r>
          </w:p>
        </w:tc>
      </w:tr>
      <w:tr w14:paraId="303A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2FC7605D">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Configuración de retroiluminación</w:t>
            </w:r>
          </w:p>
        </w:tc>
        <w:tc>
          <w:tcPr>
            <w:tcW w:w="3764" w:type="pct"/>
            <w:vAlign w:val="center"/>
          </w:tcPr>
          <w:p w14:paraId="0A111C80">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Ajustar la retroiluminación a siempre encendida o automática</w:t>
            </w:r>
          </w:p>
        </w:tc>
      </w:tr>
      <w:tr w14:paraId="7312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F4442A3">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Configuración de contraseña</w:t>
            </w:r>
          </w:p>
        </w:tc>
        <w:tc>
          <w:tcPr>
            <w:tcW w:w="3764" w:type="pct"/>
            <w:vAlign w:val="center"/>
          </w:tcPr>
          <w:p w14:paraId="71C88F89">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Cambiar la contraseña predeterminada por una contraseña privada</w:t>
            </w:r>
          </w:p>
        </w:tc>
      </w:tr>
      <w:tr w14:paraId="7180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6CDF2778">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autocomprobación</w:t>
            </w:r>
          </w:p>
        </w:tc>
        <w:tc>
          <w:tcPr>
            <w:tcW w:w="3764" w:type="pct"/>
            <w:vAlign w:val="center"/>
          </w:tcPr>
          <w:p w14:paraId="055BDB96">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Comprobar si cada componente funciona correctamente</w:t>
            </w:r>
          </w:p>
        </w:tc>
      </w:tr>
      <w:tr w14:paraId="7122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320866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Información del canal</w:t>
            </w:r>
          </w:p>
        </w:tc>
        <w:tc>
          <w:tcPr>
            <w:tcW w:w="3764" w:type="pct"/>
            <w:vAlign w:val="center"/>
          </w:tcPr>
          <w:p w14:paraId="0792F712">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Previsualizar información como la lectura baja, la lectura alta y el rango del gas medido</w:t>
            </w:r>
          </w:p>
        </w:tc>
      </w:tr>
      <w:tr w14:paraId="2E8D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7681A6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Salir del menú</w:t>
            </w:r>
          </w:p>
        </w:tc>
        <w:tc>
          <w:tcPr>
            <w:tcW w:w="3764" w:type="pct"/>
            <w:vAlign w:val="center"/>
          </w:tcPr>
          <w:p w14:paraId="370BB0D5">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Volver a la interfaz de monitorización</w:t>
            </w:r>
          </w:p>
        </w:tc>
      </w:tr>
    </w:tbl>
    <w:p w14:paraId="594E915B">
      <w:pPr>
        <w:pageBreakBefore w:val="0"/>
        <w:kinsoku/>
        <w:wordWrap/>
        <w:overflowPunct/>
        <w:topLinePunct w:val="0"/>
        <w:bidi w:val="0"/>
        <w:snapToGrid w:val="0"/>
        <w:spacing w:line="312" w:lineRule="auto"/>
        <w:ind w:firstLine="400" w:firstLineChars="200"/>
        <w:textAlignment w:val="center"/>
        <w:outlineLvl w:val="9"/>
        <w:rPr>
          <w:rFonts w:hint="eastAsia" w:ascii="Times New Roman" w:hAnsi="Times New Roman" w:cs="Times New Roman"/>
          <w:sz w:val="20"/>
          <w:szCs w:val="20"/>
          <w:lang w:val="en-US" w:eastAsia="zh-CN"/>
        </w:rPr>
      </w:pPr>
    </w:p>
    <w:p w14:paraId="02AC629D">
      <w:pPr>
        <w:pageBreakBefore w:val="0"/>
        <w:kinsoku/>
        <w:wordWrap/>
        <w:overflowPunct/>
        <w:topLinePunct w:val="0"/>
        <w:bidi w:val="0"/>
        <w:snapToGrid w:val="0"/>
        <w:spacing w:line="312" w:lineRule="auto"/>
        <w:ind w:firstLine="400" w:firstLineChars="200"/>
        <w:textAlignment w:val="center"/>
        <w:outlineLvl w:val="9"/>
        <w:rPr>
          <w:rFonts w:hint="eastAsia" w:ascii="Times New Roman" w:hAnsi="Times New Roman" w:eastAsia="宋体" w:cs="Times New Roman"/>
          <w:sz w:val="20"/>
          <w:szCs w:val="20"/>
          <w:lang w:eastAsia="zh-CN"/>
        </w:rPr>
      </w:pPr>
      <w:r>
        <w:rPr>
          <w:rFonts w:hint="eastAsia" w:ascii="Times New Roman" w:hAnsi="Times New Roman" w:eastAsia="宋体" w:cs="Times New Roman"/>
          <w:kern w:val="2"/>
          <w:sz w:val="20"/>
          <w:szCs w:val="20"/>
          <w:lang w:val="en-US" w:eastAsia="zh-CN" w:bidi="ar-SA"/>
        </w:rPr>
        <w:t>Consulte la tabla siguiente para conocer las operaciones específicas del menú del producto:</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5"/>
        <w:gridCol w:w="4989"/>
      </w:tblGrid>
      <w:tr w14:paraId="2688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5962084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Parámetros de la pantalla de visualización</w:t>
            </w:r>
          </w:p>
        </w:tc>
        <w:tc>
          <w:tcPr>
            <w:tcW w:w="3597" w:type="pct"/>
            <w:vAlign w:val="center"/>
          </w:tcPr>
          <w:p w14:paraId="09B5C73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Introducción detallada de las funciones</w:t>
            </w:r>
          </w:p>
        </w:tc>
      </w:tr>
      <w:tr w14:paraId="2B2B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1F7FFE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宋体"/>
                <w:sz w:val="20"/>
                <w:szCs w:val="20"/>
                <w:lang w:eastAsia="zh-CN"/>
              </w:rPr>
            </w:pPr>
            <w:r>
              <w:rPr>
                <w:rFonts w:ascii="宋体" w:hAnsi="宋体"/>
                <w:sz w:val="20"/>
                <w:szCs w:val="20"/>
              </w:rPr>
              <w:drawing>
                <wp:inline distT="0" distB="0" distL="0" distR="0">
                  <wp:extent cx="899160" cy="609600"/>
                  <wp:effectExtent l="0" t="0" r="15240" b="0"/>
                  <wp:docPr id="155" name="图片 29" descr="密码验证1"/>
                  <wp:cNvGraphicFramePr/>
                  <a:graphic xmlns:a="http://schemas.openxmlformats.org/drawingml/2006/main">
                    <a:graphicData uri="http://schemas.openxmlformats.org/drawingml/2006/picture">
                      <pic:pic xmlns:pic="http://schemas.openxmlformats.org/drawingml/2006/picture">
                        <pic:nvPicPr>
                          <pic:cNvPr id="155" name="图片 29" descr="密码验证1"/>
                          <pic:cNvPicPr preferRelativeResize="0">
                            <a:picLocks noChangeArrowheads="1"/>
                          </pic:cNvPicPr>
                        </pic:nvPicPr>
                        <pic:blipFill>
                          <a:blip r:embed="rId2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宋体" w:eastAsia="宋体" w:cs="Times New Roman"/>
                <w:kern w:val="2"/>
                <w:sz w:val="20"/>
                <w:szCs w:val="20"/>
                <w:lang w:val="en-US" w:eastAsia="zh-CN" w:bidi="ar-SA"/>
              </w:rPr>
              <w:t>figura 1</w:t>
            </w:r>
          </w:p>
          <w:p w14:paraId="330C829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宋体"/>
                <w:sz w:val="20"/>
                <w:szCs w:val="20"/>
                <w:lang w:eastAsia="zh-CN"/>
              </w:rPr>
            </w:pPr>
            <w:r>
              <w:rPr>
                <w:rFonts w:ascii="宋体" w:hAnsi="宋体"/>
                <w:sz w:val="20"/>
                <w:szCs w:val="20"/>
              </w:rPr>
              <w:drawing>
                <wp:inline distT="0" distB="0" distL="0" distR="0">
                  <wp:extent cx="899160" cy="609600"/>
                  <wp:effectExtent l="0" t="0" r="15240" b="0"/>
                  <wp:docPr id="157" name="图片 40" descr="密码验证2"/>
                  <wp:cNvGraphicFramePr/>
                  <a:graphic xmlns:a="http://schemas.openxmlformats.org/drawingml/2006/main">
                    <a:graphicData uri="http://schemas.openxmlformats.org/drawingml/2006/picture">
                      <pic:pic xmlns:pic="http://schemas.openxmlformats.org/drawingml/2006/picture">
                        <pic:nvPicPr>
                          <pic:cNvPr id="157" name="图片 40" descr="密码验证2"/>
                          <pic:cNvPicPr preferRelativeResize="0">
                            <a:picLocks noChangeArrowheads="1"/>
                          </pic:cNvPicPr>
                        </pic:nvPicPr>
                        <pic:blipFill>
                          <a:blip r:embed="rId3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宋体" w:eastAsia="宋体" w:cs="Times New Roman"/>
                <w:kern w:val="2"/>
                <w:sz w:val="20"/>
                <w:szCs w:val="20"/>
                <w:lang w:val="en-US" w:eastAsia="zh-CN" w:bidi="ar-SA"/>
              </w:rPr>
              <w:t>gráfico 2</w:t>
            </w:r>
          </w:p>
        </w:tc>
        <w:tc>
          <w:tcPr>
            <w:tcW w:w="3597" w:type="pct"/>
            <w:vAlign w:val="center"/>
          </w:tcPr>
          <w:p w14:paraId="58A75D2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Ir a la configuración del menú:</w:t>
            </w:r>
          </w:p>
          <w:p w14:paraId="78909EC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En el modo de detección normal, el detector entra en la interfaz de verificación de contraseña al pulsar las teclas (como se muestra en la figura 1). Al pulsar las teclas se aumenta o disminuye el valor numérico, mientras que el desplazamiento de teclas ajusta la interfaz a la configuración que se muestra en la figura 2. Las pulsaciones de tecla posteriores dan acceso entonces a la interfaz de configuración del menú.</w:t>
            </w:r>
            <w:r>
              <w:rPr>
                <w:rFonts w:hint="eastAsia" w:ascii="宋体" w:hAnsi="宋体"/>
                <w:color w:val="000000"/>
                <w:sz w:val="20"/>
                <w:szCs w:val="20"/>
              </w:rPr>
              <w:drawing>
                <wp:inline distT="0" distB="0" distL="0" distR="0">
                  <wp:extent cx="190500" cy="175260"/>
                  <wp:effectExtent l="0" t="0" r="12700" b="2540"/>
                  <wp:docPr id="163" name="图片 3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64" name="图片 4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41"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65" name="图片 42"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42"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90500" cy="175260"/>
                  <wp:effectExtent l="0" t="0" r="12700" b="2540"/>
                  <wp:docPr id="166" name="图片 4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167" name="图片 4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4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w:r>
          </w:p>
        </w:tc>
      </w:tr>
      <w:tr w14:paraId="78FC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7BB32EA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69" name="图片 45" descr="报警记录1"/>
                  <wp:cNvGraphicFramePr/>
                  <a:graphic xmlns:a="http://schemas.openxmlformats.org/drawingml/2006/main">
                    <a:graphicData uri="http://schemas.openxmlformats.org/drawingml/2006/picture">
                      <pic:pic xmlns:pic="http://schemas.openxmlformats.org/drawingml/2006/picture">
                        <pic:nvPicPr>
                          <pic:cNvPr id="169" name="图片 45" descr="报警记录1"/>
                          <pic:cNvPicPr preferRelativeResize="0">
                            <a:picLocks noChangeArrowheads="1"/>
                          </pic:cNvPicPr>
                        </pic:nvPicPr>
                        <pic:blipFill>
                          <a:blip r:embed="rId33"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gráfico 3</w:t>
            </w:r>
          </w:p>
          <w:p w14:paraId="22500FC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71" name="图片 9" descr="报警记录2"/>
                  <wp:cNvGraphicFramePr/>
                  <a:graphic xmlns:a="http://schemas.openxmlformats.org/drawingml/2006/main">
                    <a:graphicData uri="http://schemas.openxmlformats.org/drawingml/2006/picture">
                      <pic:pic xmlns:pic="http://schemas.openxmlformats.org/drawingml/2006/picture">
                        <pic:nvPicPr>
                          <pic:cNvPr id="171" name="图片 9" descr="报警记录2"/>
                          <pic:cNvPicPr preferRelativeResize="0">
                            <a:picLocks noChangeArrowheads="1"/>
                          </pic:cNvPicPr>
                        </pic:nvPicPr>
                        <pic:blipFill>
                          <a:blip r:embed="rId3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gráfico 4</w:t>
            </w:r>
          </w:p>
        </w:tc>
        <w:tc>
          <w:tcPr>
            <w:tcW w:w="3597" w:type="pct"/>
            <w:vAlign w:val="center"/>
          </w:tcPr>
          <w:p w14:paraId="2B005F6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1. Registros de alarmas</w:t>
            </w:r>
          </w:p>
          <w:p w14:paraId="001CC25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En la configuración de funciones del menú, pulse o seleccione Registros de alarmas como se muestra en la figura 3; pulse el botón para entrar en la interfaz de visualización de registros de alarmas como se muestra en la figura 4; pulse el botón para ver los registros de alarmas desplazándose hacia arriba o hacia abajo. Después de pulsar el botón para entrar en la interfaz siguiente, siga las indicaciones para salir o eliminar los registros de alarmas.</w:t>
            </w:r>
            <w:r>
              <w:rPr>
                <w:rFonts w:hint="eastAsia" w:ascii="宋体" w:hAnsi="宋体"/>
                <w:color w:val="000000"/>
                <w:sz w:val="20"/>
                <w:szCs w:val="20"/>
              </w:rPr>
              <w:drawing>
                <wp:inline distT="0" distB="0" distL="0" distR="0">
                  <wp:extent cx="182880" cy="175260"/>
                  <wp:effectExtent l="0" t="0" r="20320" b="2540"/>
                  <wp:docPr id="178" name="图片 4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4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179" name="图片 4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4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180" name="图片 4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4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81" name="图片 49"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49"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182" name="图片 50"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50"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183" name="图片 66"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66"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3426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04E2CE7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5" name="图片 67" descr="低报设置1"/>
                  <wp:cNvGraphicFramePr/>
                  <a:graphic xmlns:a="http://schemas.openxmlformats.org/drawingml/2006/main">
                    <a:graphicData uri="http://schemas.openxmlformats.org/drawingml/2006/picture">
                      <pic:pic xmlns:pic="http://schemas.openxmlformats.org/drawingml/2006/picture">
                        <pic:nvPicPr>
                          <pic:cNvPr id="185" name="图片 67" descr="低报设置1"/>
                          <pic:cNvPicPr preferRelativeResize="0">
                            <a:picLocks noChangeArrowheads="1"/>
                          </pic:cNvPicPr>
                        </pic:nvPicPr>
                        <pic:blipFill>
                          <a:blip r:embed="rId35"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gráfico 5</w:t>
            </w:r>
          </w:p>
          <w:p w14:paraId="024FBD4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7" name="图片 76" descr="低报设置2"/>
                  <wp:cNvGraphicFramePr/>
                  <a:graphic xmlns:a="http://schemas.openxmlformats.org/drawingml/2006/main">
                    <a:graphicData uri="http://schemas.openxmlformats.org/drawingml/2006/picture">
                      <pic:pic xmlns:pic="http://schemas.openxmlformats.org/drawingml/2006/picture">
                        <pic:nvPicPr>
                          <pic:cNvPr id="187" name="图片 76"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6</w:t>
            </w:r>
          </w:p>
          <w:p w14:paraId="79ACA95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9" name="图片 77" descr="低报设置3"/>
                  <wp:cNvGraphicFramePr/>
                  <a:graphic xmlns:a="http://schemas.openxmlformats.org/drawingml/2006/main">
                    <a:graphicData uri="http://schemas.openxmlformats.org/drawingml/2006/picture">
                      <pic:pic xmlns:pic="http://schemas.openxmlformats.org/drawingml/2006/picture">
                        <pic:nvPicPr>
                          <pic:cNvPr id="189" name="图片 77" descr="低报设置3"/>
                          <pic:cNvPicPr preferRelativeResize="0">
                            <a:picLocks noChangeArrowheads="1"/>
                          </pic:cNvPicPr>
                        </pic:nvPicPr>
                        <pic:blipFill>
                          <a:blip r:embed="rId3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7</w:t>
            </w:r>
          </w:p>
        </w:tc>
        <w:tc>
          <w:tcPr>
            <w:tcW w:w="3597" w:type="pct"/>
            <w:vAlign w:val="center"/>
          </w:tcPr>
          <w:p w14:paraId="2FB0D32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2. Configuración de alarma baja</w:t>
            </w:r>
          </w:p>
          <w:p w14:paraId="032B30C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Para acceder a la configuración del menú, pulse o seleccione la configuración de alarma baja como se muestra en la figura 5. Pulse el botón para entrar en la interfaz de selección de canal (figura 6). Pulse o seleccione «inflamable», «oxígeno» u «otro» para pasar a la interfaz siguiente (figura 7). Pulse para ajustar los valores de datos hacia arriba o hacia abajo. Después de entrar en la interfaz siguiente, siga las indicaciones para guardar la configuración o salir directamente.</w:t>
            </w:r>
            <w:r>
              <w:rPr>
                <w:rFonts w:hint="eastAsia" w:ascii="宋体" w:hAnsi="宋体"/>
                <w:color w:val="000000"/>
                <w:sz w:val="20"/>
                <w:szCs w:val="20"/>
              </w:rPr>
              <w:drawing>
                <wp:inline distT="0" distB="0" distL="0" distR="0">
                  <wp:extent cx="182880" cy="175260"/>
                  <wp:effectExtent l="0" t="0" r="20320" b="2540"/>
                  <wp:docPr id="199" name="图片 6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6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00" name="图片 6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6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01" name="图片 7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7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03" name="图片 7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7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02" name="图片 7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7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04" name="图片 8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8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05" name="图片 8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81"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06" name="图片 82"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82"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07" name="图片 8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8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p w14:paraId="00A2C34F">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color w:val="000000"/>
                <w:sz w:val="20"/>
                <w:szCs w:val="20"/>
              </w:rPr>
            </w:pPr>
          </w:p>
          <w:p w14:paraId="5592390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No modifique los parámetros del punto de consigna de alarma a menos que se especifique lo contrario.</w:t>
            </w:r>
          </w:p>
        </w:tc>
      </w:tr>
      <w:tr w14:paraId="79DE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D92B5B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09" name="图片 91" descr="高报设置2"/>
                  <wp:cNvGraphicFramePr/>
                  <a:graphic xmlns:a="http://schemas.openxmlformats.org/drawingml/2006/main">
                    <a:graphicData uri="http://schemas.openxmlformats.org/drawingml/2006/picture">
                      <pic:pic xmlns:pic="http://schemas.openxmlformats.org/drawingml/2006/picture">
                        <pic:nvPicPr>
                          <pic:cNvPr id="209" name="图片 91" descr="高报设置2"/>
                          <pic:cNvPicPr preferRelativeResize="0">
                            <a:picLocks noChangeArrowheads="1"/>
                          </pic:cNvPicPr>
                        </pic:nvPicPr>
                        <pic:blipFill>
                          <a:blip r:embed="rId38"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8</w:t>
            </w:r>
          </w:p>
          <w:p w14:paraId="796AE51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11" name="图片 31" descr="低报设置2"/>
                  <wp:cNvGraphicFramePr/>
                  <a:graphic xmlns:a="http://schemas.openxmlformats.org/drawingml/2006/main">
                    <a:graphicData uri="http://schemas.openxmlformats.org/drawingml/2006/picture">
                      <pic:pic xmlns:pic="http://schemas.openxmlformats.org/drawingml/2006/picture">
                        <pic:nvPicPr>
                          <pic:cNvPr id="211" name="图片 31"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9</w:t>
            </w:r>
          </w:p>
          <w:p w14:paraId="30DCC59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13" name="图片 32" descr="高报设置3"/>
                  <wp:cNvGraphicFramePr/>
                  <a:graphic xmlns:a="http://schemas.openxmlformats.org/drawingml/2006/main">
                    <a:graphicData uri="http://schemas.openxmlformats.org/drawingml/2006/picture">
                      <pic:pic xmlns:pic="http://schemas.openxmlformats.org/drawingml/2006/picture">
                        <pic:nvPicPr>
                          <pic:cNvPr id="213" name="图片 32" descr="高报设置3"/>
                          <pic:cNvPicPr preferRelativeResize="0">
                            <a:picLocks noChangeArrowheads="1"/>
                          </pic:cNvPicPr>
                        </pic:nvPicPr>
                        <pic:blipFill>
                          <a:blip r:embed="rId3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10</w:t>
            </w:r>
          </w:p>
        </w:tc>
        <w:tc>
          <w:tcPr>
            <w:tcW w:w="3597" w:type="pct"/>
            <w:vAlign w:val="center"/>
          </w:tcPr>
          <w:p w14:paraId="77C5116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3. Configuración de alarma alta</w:t>
            </w:r>
          </w:p>
          <w:p w14:paraId="7B42EF7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Para acceder a la configuración del menú, pulse o seleccione la configuración de alarma alta como se muestra en la figura 8. Pulse el botón para entrar en la interfaz de selección de canal (figura 9). Pulse o seleccione las opciones combustible, oxígeno u otras para pasar a la interfaz siguiente (figura 10). Pulse para ajustar los valores de datos hacia arriba o hacia abajo. Después de entrar en la interfaz siguiente, siga las indicaciones para guardar la configuración o salir directamente.</w:t>
            </w:r>
            <w:r>
              <w:rPr>
                <w:rFonts w:hint="eastAsia" w:ascii="宋体" w:hAnsi="宋体"/>
                <w:color w:val="000000"/>
                <w:sz w:val="20"/>
                <w:szCs w:val="20"/>
              </w:rPr>
              <w:drawing>
                <wp:inline distT="0" distB="0" distL="0" distR="0">
                  <wp:extent cx="182880" cy="175260"/>
                  <wp:effectExtent l="0" t="0" r="20320" b="2540"/>
                  <wp:docPr id="223" name="图片 9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9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4" name="图片 9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9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25" name="图片 9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9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7" name="图片 96"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96"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6" name="图片 95"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95"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28" name="图片 97"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97"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29" name="图片 9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9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30" name="图片 3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3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31" name="图片 3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3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p w14:paraId="20A8477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color w:val="000000"/>
                <w:sz w:val="20"/>
                <w:szCs w:val="20"/>
              </w:rPr>
            </w:pPr>
          </w:p>
          <w:p w14:paraId="42831D4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bCs/>
                <w:color w:val="000000"/>
                <w:sz w:val="20"/>
                <w:szCs w:val="20"/>
                <w:lang w:eastAsia="zh-CN"/>
              </w:rPr>
            </w:pPr>
            <w:r>
              <w:rPr>
                <w:rFonts w:hint="eastAsia" w:ascii="Times New Roman" w:hAnsi="宋体" w:eastAsia="宋体" w:cs="Times New Roman"/>
                <w:color w:val="000000"/>
                <w:kern w:val="2"/>
                <w:sz w:val="20"/>
                <w:szCs w:val="20"/>
                <w:lang w:val="en-US" w:eastAsia="zh-CN" w:bidi="ar-SA"/>
              </w:rPr>
              <w:t>No modifique los parámetros del punto de consigna de alarma a menos que se especifique lo contrario.</w:t>
            </w:r>
          </w:p>
        </w:tc>
      </w:tr>
      <w:tr w14:paraId="1A49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36AEBCF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3" name="图片 51" descr="零点设置1"/>
                  <wp:cNvGraphicFramePr/>
                  <a:graphic xmlns:a="http://schemas.openxmlformats.org/drawingml/2006/main">
                    <a:graphicData uri="http://schemas.openxmlformats.org/drawingml/2006/picture">
                      <pic:pic xmlns:pic="http://schemas.openxmlformats.org/drawingml/2006/picture">
                        <pic:nvPicPr>
                          <pic:cNvPr id="233" name="图片 51" descr="零点设置1"/>
                          <pic:cNvPicPr preferRelativeResize="0">
                            <a:picLocks noChangeArrowheads="1"/>
                          </pic:cNvPicPr>
                        </pic:nvPicPr>
                        <pic:blipFill>
                          <a:blip r:embed="rId4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11</w:t>
            </w:r>
          </w:p>
          <w:p w14:paraId="39CD977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5" name="图片 52" descr="低报设置2"/>
                  <wp:cNvGraphicFramePr/>
                  <a:graphic xmlns:a="http://schemas.openxmlformats.org/drawingml/2006/main">
                    <a:graphicData uri="http://schemas.openxmlformats.org/drawingml/2006/picture">
                      <pic:pic xmlns:pic="http://schemas.openxmlformats.org/drawingml/2006/picture">
                        <pic:nvPicPr>
                          <pic:cNvPr id="235" name="图片 52"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12</w:t>
            </w:r>
          </w:p>
          <w:p w14:paraId="656A10A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7" name="图片 10" descr="零点设置2"/>
                  <wp:cNvGraphicFramePr/>
                  <a:graphic xmlns:a="http://schemas.openxmlformats.org/drawingml/2006/main">
                    <a:graphicData uri="http://schemas.openxmlformats.org/drawingml/2006/picture">
                      <pic:pic xmlns:pic="http://schemas.openxmlformats.org/drawingml/2006/picture">
                        <pic:nvPicPr>
                          <pic:cNvPr id="237" name="图片 10" descr="零点设置2"/>
                          <pic:cNvPicPr preferRelativeResize="0">
                            <a:picLocks noChangeArrowheads="1"/>
                          </pic:cNvPicPr>
                        </pic:nvPicPr>
                        <pic:blipFill>
                          <a:blip r:embed="rId41"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13</w:t>
            </w:r>
          </w:p>
        </w:tc>
        <w:tc>
          <w:tcPr>
            <w:tcW w:w="3597" w:type="pct"/>
            <w:vAlign w:val="center"/>
          </w:tcPr>
          <w:p w14:paraId="0A26FB4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4. Ajuste de cero</w:t>
            </w:r>
          </w:p>
          <w:p w14:paraId="3A74C78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Acceda a la configuración del menú y seleccione Ajuste de cero (figura 11). Pulse el botón para entrar en la interfaz de verificación de contraseña (para evitar operaciones accidentales). Tras verificar la contraseña, pase a la interfaz de selección de canal (figura 12). Pulse o seleccione las opciones combustible, oxígeno u otras para pasar a la interfaz siguiente (figura 13). Pulse Guardar o Salir para completar el proceso.</w:t>
            </w:r>
            <w:r>
              <w:rPr>
                <w:rFonts w:hint="eastAsia" w:ascii="宋体" w:hAnsi="宋体"/>
                <w:color w:val="000000"/>
                <w:sz w:val="20"/>
                <w:szCs w:val="20"/>
              </w:rPr>
              <w:drawing>
                <wp:inline distT="0" distB="0" distL="0" distR="0">
                  <wp:extent cx="182880" cy="175260"/>
                  <wp:effectExtent l="0" t="0" r="20320" b="2540"/>
                  <wp:docPr id="246" name="图片 53"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53"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47" name="图片 54"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54"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48" name="图片 5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5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49" name="图片 5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5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50" name="图片 5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5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51" name="图片 11"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1"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52" name="图片 1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53" name="图片 1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1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546F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C7BB48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55" name="图片 84" descr="标定设置1"/>
                  <wp:cNvGraphicFramePr/>
                  <a:graphic xmlns:a="http://schemas.openxmlformats.org/drawingml/2006/main">
                    <a:graphicData uri="http://schemas.openxmlformats.org/drawingml/2006/picture">
                      <pic:pic xmlns:pic="http://schemas.openxmlformats.org/drawingml/2006/picture">
                        <pic:nvPicPr>
                          <pic:cNvPr id="255" name="图片 84" descr="标定设置1"/>
                          <pic:cNvPicPr preferRelativeResize="0">
                            <a:picLocks noChangeArrowheads="1"/>
                          </pic:cNvPicPr>
                        </pic:nvPicPr>
                        <pic:blipFill>
                          <a:blip r:embed="rId42"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14</w:t>
            </w:r>
          </w:p>
        </w:tc>
        <w:tc>
          <w:tcPr>
            <w:tcW w:w="3597" w:type="pct"/>
            <w:vAlign w:val="center"/>
          </w:tcPr>
          <w:p w14:paraId="409010B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5. Configuración de calibración</w:t>
            </w:r>
          </w:p>
          <w:p w14:paraId="5114BE7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Para obtener asistencia, póngase en contacto con el fabricante.</w:t>
            </w:r>
          </w:p>
        </w:tc>
      </w:tr>
      <w:tr w14:paraId="297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1402" w:type="pct"/>
            <w:vAlign w:val="center"/>
          </w:tcPr>
          <w:p w14:paraId="2830037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17220"/>
                  <wp:effectExtent l="0" t="0" r="15240" b="17780"/>
                  <wp:docPr id="257" name="图片 85" descr="时间设置1"/>
                  <wp:cNvGraphicFramePr/>
                  <a:graphic xmlns:a="http://schemas.openxmlformats.org/drawingml/2006/main">
                    <a:graphicData uri="http://schemas.openxmlformats.org/drawingml/2006/picture">
                      <pic:pic xmlns:pic="http://schemas.openxmlformats.org/drawingml/2006/picture">
                        <pic:nvPicPr>
                          <pic:cNvPr id="257" name="图片 85" descr="时间设置1"/>
                          <pic:cNvPicPr preferRelativeResize="0">
                            <a:picLocks noChangeArrowheads="1"/>
                          </pic:cNvPicPr>
                        </pic:nvPicPr>
                        <pic:blipFill>
                          <a:blip r:embed="rId43" cstate="print"/>
                          <a:srcRect/>
                          <a:stretch>
                            <a:fillRect/>
                          </a:stretch>
                        </pic:blipFill>
                        <pic:spPr>
                          <a:xfrm>
                            <a:off x="0" y="0"/>
                            <a:ext cx="899160" cy="61722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gráfico 15</w:t>
            </w:r>
          </w:p>
          <w:p w14:paraId="6858E92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59" name="图片 99" descr="时间设置2"/>
                  <wp:cNvGraphicFramePr/>
                  <a:graphic xmlns:a="http://schemas.openxmlformats.org/drawingml/2006/main">
                    <a:graphicData uri="http://schemas.openxmlformats.org/drawingml/2006/picture">
                      <pic:pic xmlns:pic="http://schemas.openxmlformats.org/drawingml/2006/picture">
                        <pic:nvPicPr>
                          <pic:cNvPr id="259" name="图片 99" descr="时间设置2"/>
                          <pic:cNvPicPr preferRelativeResize="0">
                            <a:picLocks noChangeArrowheads="1"/>
                          </pic:cNvPicPr>
                        </pic:nvPicPr>
                        <pic:blipFill>
                          <a:blip r:embed="rId4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16</w:t>
            </w:r>
          </w:p>
        </w:tc>
        <w:tc>
          <w:tcPr>
            <w:tcW w:w="3597" w:type="pct"/>
            <w:vAlign w:val="center"/>
          </w:tcPr>
          <w:p w14:paraId="5C8F4DD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6. Configuración de hora</w:t>
            </w:r>
          </w:p>
          <w:p w14:paraId="71ACB4E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Acceda a la función de configuración del menú y, a continuación, pulse o seleccione Configuración de hora como se muestra en la figura 15. Pulse el botón para entrar en la interfaz de configuración de hora (figura 16). Pulse para ajustar los valores de datos (aumentar o disminuir), o utilice la tecla de desplazamiento para navegar. Una vez completada la configuración, pulse para pasar a la interfaz siguiente y seleccione Guardar o salga directamente.</w:t>
            </w:r>
            <w:r>
              <w:rPr>
                <w:rFonts w:hint="eastAsia" w:ascii="宋体" w:hAnsi="宋体"/>
                <w:color w:val="000000"/>
                <w:sz w:val="20"/>
                <w:szCs w:val="20"/>
              </w:rPr>
              <w:drawing>
                <wp:inline distT="0" distB="0" distL="0" distR="0">
                  <wp:extent cx="182880" cy="175260"/>
                  <wp:effectExtent l="0" t="0" r="20320" b="2540"/>
                  <wp:docPr id="267" name="图片 8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8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68" name="图片 8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8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69" name="图片 8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8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70" name="图片 100"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100"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71" name="图片 101"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101"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72" name="图片 102"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02"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73" name="图片 10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0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4028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20F7767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556260"/>
                  <wp:effectExtent l="0" t="0" r="15240" b="2540"/>
                  <wp:docPr id="275" name="图片 35" descr="背光设置1"/>
                  <wp:cNvGraphicFramePr/>
                  <a:graphic xmlns:a="http://schemas.openxmlformats.org/drawingml/2006/main">
                    <a:graphicData uri="http://schemas.openxmlformats.org/drawingml/2006/picture">
                      <pic:pic xmlns:pic="http://schemas.openxmlformats.org/drawingml/2006/picture">
                        <pic:nvPicPr>
                          <pic:cNvPr id="275" name="图片 35" descr="背光设置1"/>
                          <pic:cNvPicPr preferRelativeResize="0">
                            <a:picLocks noChangeArrowheads="1"/>
                          </pic:cNvPicPr>
                        </pic:nvPicPr>
                        <pic:blipFill>
                          <a:blip r:embed="rId45" cstate="print"/>
                          <a:srcRect/>
                          <a:stretch>
                            <a:fillRect/>
                          </a:stretch>
                        </pic:blipFill>
                        <pic:spPr>
                          <a:xfrm>
                            <a:off x="0" y="0"/>
                            <a:ext cx="899160" cy="556260"/>
                          </a:xfrm>
                          <a:prstGeom prst="rect">
                            <a:avLst/>
                          </a:prstGeom>
                          <a:noFill/>
                          <a:ln w="9525">
                            <a:noFill/>
                            <a:miter lim="800000"/>
                            <a:headEnd/>
                            <a:tailEnd/>
                          </a:ln>
                          <a:effectLst/>
                        </pic:spPr>
                      </pic:pic>
                    </a:graphicData>
                  </a:graphic>
                </wp:inline>
              </w:drawing>
            </w:r>
            <w:r>
              <w:rPr>
                <w:rFonts w:hint="eastAsia" w:ascii="Times New Roman" w:hAnsi="Times New Roman" w:eastAsia="宋体" w:cs="Times New Roman"/>
                <w:kern w:val="2"/>
                <w:sz w:val="20"/>
                <w:szCs w:val="20"/>
                <w:lang w:val="en-US" w:eastAsia="zh-CN" w:bidi="ar-SA"/>
              </w:rPr>
              <w:t>figura 17</w:t>
            </w:r>
          </w:p>
          <w:p w14:paraId="30B2FD0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502920"/>
                  <wp:effectExtent l="0" t="0" r="15240" b="5080"/>
                  <wp:docPr id="277" name="图片 36" descr="背光设置2"/>
                  <wp:cNvGraphicFramePr/>
                  <a:graphic xmlns:a="http://schemas.openxmlformats.org/drawingml/2006/main">
                    <a:graphicData uri="http://schemas.openxmlformats.org/drawingml/2006/picture">
                      <pic:pic xmlns:pic="http://schemas.openxmlformats.org/drawingml/2006/picture">
                        <pic:nvPicPr>
                          <pic:cNvPr id="277" name="图片 36" descr="背光设置2"/>
                          <pic:cNvPicPr preferRelativeResize="0">
                            <a:picLocks noChangeArrowheads="1"/>
                          </pic:cNvPicPr>
                        </pic:nvPicPr>
                        <pic:blipFill>
                          <a:blip r:embed="rId46" cstate="print"/>
                          <a:srcRect/>
                          <a:stretch>
                            <a:fillRect/>
                          </a:stretch>
                        </pic:blipFill>
                        <pic:spPr>
                          <a:xfrm>
                            <a:off x="0" y="0"/>
                            <a:ext cx="899160" cy="502920"/>
                          </a:xfrm>
                          <a:prstGeom prst="rect">
                            <a:avLst/>
                          </a:prstGeom>
                          <a:noFill/>
                          <a:ln w="9525">
                            <a:noFill/>
                            <a:miter lim="800000"/>
                            <a:headEnd/>
                            <a:tailEnd/>
                          </a:ln>
                          <a:effectLst/>
                        </pic:spPr>
                      </pic:pic>
                    </a:graphicData>
                  </a:graphic>
                </wp:inline>
              </w:drawing>
            </w:r>
            <w:r>
              <w:rPr>
                <w:rFonts w:hint="eastAsia" w:ascii="Times New Roman" w:hAnsi="Times New Roman" w:eastAsia="宋体" w:cs="Times New Roman"/>
                <w:kern w:val="2"/>
                <w:sz w:val="20"/>
                <w:szCs w:val="20"/>
                <w:lang w:val="en-US" w:eastAsia="zh-CN" w:bidi="ar-SA"/>
              </w:rPr>
              <w:t>figura 18</w:t>
            </w:r>
          </w:p>
        </w:tc>
        <w:tc>
          <w:tcPr>
            <w:tcW w:w="3597" w:type="pct"/>
            <w:vAlign w:val="center"/>
          </w:tcPr>
          <w:p w14:paraId="7B3D555F">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7. Configuración de retroiluminación</w:t>
            </w:r>
          </w:p>
          <w:p w14:paraId="43A7537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Acceda a la función de configuración del menú y, a continuación, pulse o seleccione configuración de retroiluminación como se muestra en la figura 17; pulse el botón para entrar en la interfaz de configuración de retroiluminación como se muestra en la figura 18; seleccione el modo automático o constante; por último, pulse guardar datos.</w:t>
            </w:r>
            <w:r>
              <w:rPr>
                <w:rFonts w:hint="eastAsia" w:ascii="宋体" w:hAnsi="宋体"/>
                <w:color w:val="000000"/>
                <w:sz w:val="20"/>
                <w:szCs w:val="20"/>
              </w:rPr>
              <w:drawing>
                <wp:inline distT="0" distB="0" distL="0" distR="0">
                  <wp:extent cx="182880" cy="175260"/>
                  <wp:effectExtent l="0" t="0" r="20320" b="2540"/>
                  <wp:docPr id="284" name="图片 3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3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85" name="图片 3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3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86" name="图片 3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3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82880" cy="175260"/>
                  <wp:effectExtent l="0" t="0" r="20320" b="2540"/>
                  <wp:docPr id="287" name="图片 5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5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r>
              <w:rPr>
                <w:rFonts w:hint="eastAsia" w:ascii="宋体" w:hAnsi="宋体"/>
                <w:color w:val="000000"/>
                <w:sz w:val="20"/>
                <w:szCs w:val="20"/>
              </w:rPr>
              <w:drawing>
                <wp:inline distT="0" distB="0" distL="0" distR="0">
                  <wp:extent cx="182880" cy="175260"/>
                  <wp:effectExtent l="0" t="0" r="20320" b="2540"/>
                  <wp:docPr id="288" name="图片 5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5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19050" t="0" r="0" b="0"/>
                  <wp:docPr id="289" name="图片 6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6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224D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4B2BBED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91" name="图片 61" descr="密码设置1"/>
                  <wp:cNvGraphicFramePr/>
                  <a:graphic xmlns:a="http://schemas.openxmlformats.org/drawingml/2006/main">
                    <a:graphicData uri="http://schemas.openxmlformats.org/drawingml/2006/picture">
                      <pic:pic xmlns:pic="http://schemas.openxmlformats.org/drawingml/2006/picture">
                        <pic:nvPicPr>
                          <pic:cNvPr id="291" name="图片 61" descr="密码设置1"/>
                          <pic:cNvPicPr preferRelativeResize="0">
                            <a:picLocks noChangeArrowheads="1"/>
                          </pic:cNvPicPr>
                        </pic:nvPicPr>
                        <pic:blipFill>
                          <a:blip r:embed="rId4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19</w:t>
            </w:r>
          </w:p>
        </w:tc>
        <w:tc>
          <w:tcPr>
            <w:tcW w:w="3597" w:type="pct"/>
            <w:vAlign w:val="center"/>
          </w:tcPr>
          <w:p w14:paraId="48C96EC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8. Configuración de contraseña</w:t>
            </w:r>
          </w:p>
          <w:p w14:paraId="260F66A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Vaya a la función de configuración del menú, pulse o seleccione configuración de contraseña como se muestra en la figura 19; pulse el botón para entrar en la interfaz de verificación de contraseña; tras verificar la contraseña, podrá introducir una nueva contraseña de cuatro dígitos; a continuación, pulse el botón para entrar en la interfaz de confirmación de guardado.</w:t>
            </w:r>
            <w:r>
              <w:rPr>
                <w:rFonts w:hint="eastAsia" w:ascii="宋体" w:hAnsi="宋体"/>
                <w:color w:val="000000"/>
                <w:sz w:val="20"/>
                <w:szCs w:val="20"/>
              </w:rPr>
              <w:drawing>
                <wp:inline distT="0" distB="0" distL="0" distR="0">
                  <wp:extent cx="182880" cy="175260"/>
                  <wp:effectExtent l="0" t="0" r="20320" b="2540"/>
                  <wp:docPr id="297" name="图片 6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6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96" name="图片 6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6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98" name="图片 6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6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299" name="图片 6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6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p w14:paraId="6897AB5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Salvo en circunstancias especiales, no cambie su contraseña.</w:t>
            </w:r>
          </w:p>
        </w:tc>
      </w:tr>
      <w:tr w14:paraId="1CFB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2E69DED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r>
              <w:rPr>
                <w:sz w:val="20"/>
                <w:szCs w:val="20"/>
              </w:rPr>
              <w:drawing>
                <wp:inline distT="0" distB="0" distL="0" distR="0">
                  <wp:extent cx="899160" cy="609600"/>
                  <wp:effectExtent l="19050" t="0" r="0" b="0"/>
                  <wp:docPr id="90" name="图片 114" descr="自检1"/>
                  <wp:cNvGraphicFramePr/>
                  <a:graphic xmlns:a="http://schemas.openxmlformats.org/drawingml/2006/main">
                    <a:graphicData uri="http://schemas.openxmlformats.org/drawingml/2006/picture">
                      <pic:pic xmlns:pic="http://schemas.openxmlformats.org/drawingml/2006/picture">
                        <pic:nvPicPr>
                          <pic:cNvPr id="90" name="图片 114" descr="自检1"/>
                          <pic:cNvPicPr preferRelativeResize="0">
                            <a:picLocks noChangeArrowheads="1"/>
                          </pic:cNvPicPr>
                        </pic:nvPicPr>
                        <pic:blipFill>
                          <a:blip r:embed="rId48" cstate="print"/>
                          <a:srcRect/>
                          <a:stretch>
                            <a:fillRect/>
                          </a:stretch>
                        </pic:blipFill>
                        <pic:spPr>
                          <a:xfrm>
                            <a:off x="0" y="0"/>
                            <a:ext cx="899160" cy="609600"/>
                          </a:xfrm>
                          <a:prstGeom prst="rect">
                            <a:avLst/>
                          </a:prstGeom>
                          <a:noFill/>
                          <a:ln w="9525">
                            <a:noFill/>
                            <a:miter lim="800000"/>
                            <a:headEnd/>
                            <a:tailEnd/>
                          </a:ln>
                        </pic:spPr>
                      </pic:pic>
                    </a:graphicData>
                  </a:graphic>
                </wp:inline>
              </w:drawing>
            </w:r>
          </w:p>
          <w:p w14:paraId="1639E61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gráfico 20</w:t>
            </w:r>
          </w:p>
          <w:p w14:paraId="230FE05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1" name="图片 72" descr="启动画面3"/>
                  <wp:cNvGraphicFramePr/>
                  <a:graphic xmlns:a="http://schemas.openxmlformats.org/drawingml/2006/main">
                    <a:graphicData uri="http://schemas.openxmlformats.org/drawingml/2006/picture">
                      <pic:pic xmlns:pic="http://schemas.openxmlformats.org/drawingml/2006/picture">
                        <pic:nvPicPr>
                          <pic:cNvPr id="301" name="图片 72" descr="启动画面3"/>
                          <pic:cNvPicPr preferRelativeResize="0">
                            <a:picLocks noChangeArrowheads="1"/>
                          </pic:cNvPicPr>
                        </pic:nvPicPr>
                        <pic:blipFill>
                          <a:blip r:embed="rId21"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21</w:t>
            </w:r>
          </w:p>
          <w:p w14:paraId="2BC14A0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3" name="图片 89" descr="启动画面4"/>
                  <wp:cNvGraphicFramePr/>
                  <a:graphic xmlns:a="http://schemas.openxmlformats.org/drawingml/2006/main">
                    <a:graphicData uri="http://schemas.openxmlformats.org/drawingml/2006/picture">
                      <pic:pic xmlns:pic="http://schemas.openxmlformats.org/drawingml/2006/picture">
                        <pic:nvPicPr>
                          <pic:cNvPr id="303" name="图片 89" descr="启动画面4"/>
                          <pic:cNvPicPr preferRelativeResize="0">
                            <a:picLocks noChangeArrowheads="1"/>
                          </pic:cNvPicPr>
                        </pic:nvPicPr>
                        <pic:blipFill>
                          <a:blip r:embed="rId22"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22</w:t>
            </w:r>
          </w:p>
          <w:p w14:paraId="23A2E7A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5" name="图片 90" descr="启动画面5"/>
                  <wp:cNvGraphicFramePr/>
                  <a:graphic xmlns:a="http://schemas.openxmlformats.org/drawingml/2006/main">
                    <a:graphicData uri="http://schemas.openxmlformats.org/drawingml/2006/picture">
                      <pic:pic xmlns:pic="http://schemas.openxmlformats.org/drawingml/2006/picture">
                        <pic:nvPicPr>
                          <pic:cNvPr id="305" name="图片 90" descr="启动画面5"/>
                          <pic:cNvPicPr preferRelativeResize="0">
                            <a:picLocks noChangeArrowheads="1"/>
                          </pic:cNvPicPr>
                        </pic:nvPicPr>
                        <pic:blipFill>
                          <a:blip r:embed="rId23"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23</w:t>
            </w:r>
          </w:p>
        </w:tc>
        <w:tc>
          <w:tcPr>
            <w:tcW w:w="3597" w:type="pct"/>
            <w:vAlign w:val="center"/>
          </w:tcPr>
          <w:p w14:paraId="3637A16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9. Autocomprobación</w:t>
            </w:r>
          </w:p>
          <w:p w14:paraId="6A306DD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Acceda a la configuración del menú y seleccione o pulse la función de autocomprobación como se muestra en la figura 20. Pulse el botón para entrar en la interfaz de autocomprobación. Al entrar en la interfaz que se muestra en la figura 21, compruebe si el altavoz emite sonidos intermitentes. En la figura 22, verifique si la bomba puede funcionar normalmente con la función de encendido/apagado. En la figura 23, inspeccione si la luz de alarma funciona correctamente con ciclos normales de iluminación y extinción.</w:t>
            </w:r>
            <w:r>
              <w:rPr>
                <w:rFonts w:hint="eastAsia" w:ascii="宋体" w:hAnsi="宋体"/>
                <w:color w:val="000000"/>
                <w:sz w:val="20"/>
                <w:szCs w:val="20"/>
              </w:rPr>
              <w:drawing>
                <wp:inline distT="0" distB="0" distL="0" distR="0">
                  <wp:extent cx="182880" cy="175260"/>
                  <wp:effectExtent l="0" t="0" r="20320" b="2540"/>
                  <wp:docPr id="309" name="图片 73"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73"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10" name="图片 74"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74"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311" name="图片 7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7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274B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795873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p>
          <w:p w14:paraId="48D4744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3" name="图片 104" descr="通道信息1"/>
                  <wp:cNvGraphicFramePr/>
                  <a:graphic xmlns:a="http://schemas.openxmlformats.org/drawingml/2006/main">
                    <a:graphicData uri="http://schemas.openxmlformats.org/drawingml/2006/picture">
                      <pic:pic xmlns:pic="http://schemas.openxmlformats.org/drawingml/2006/picture">
                        <pic:nvPicPr>
                          <pic:cNvPr id="313" name="图片 104" descr="通道信息1"/>
                          <pic:cNvPicPr preferRelativeResize="0">
                            <a:picLocks noChangeArrowheads="1"/>
                          </pic:cNvPicPr>
                        </pic:nvPicPr>
                        <pic:blipFill>
                          <a:blip r:embed="rId4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24</w:t>
            </w:r>
          </w:p>
          <w:p w14:paraId="53D8D82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5" name="图片 105" descr="启动画面6"/>
                  <wp:cNvGraphicFramePr/>
                  <a:graphic xmlns:a="http://schemas.openxmlformats.org/drawingml/2006/main">
                    <a:graphicData uri="http://schemas.openxmlformats.org/drawingml/2006/picture">
                      <pic:pic xmlns:pic="http://schemas.openxmlformats.org/drawingml/2006/picture">
                        <pic:nvPicPr>
                          <pic:cNvPr id="315" name="图片 105" descr="启动画面6"/>
                          <pic:cNvPicPr preferRelativeResize="0">
                            <a:picLocks noChangeArrowheads="1"/>
                          </pic:cNvPicPr>
                        </pic:nvPicPr>
                        <pic:blipFill>
                          <a:blip r:embed="rId2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25</w:t>
            </w:r>
          </w:p>
          <w:p w14:paraId="0696DDE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7" name="图片 106" descr="启动画面7"/>
                  <wp:cNvGraphicFramePr/>
                  <a:graphic xmlns:a="http://schemas.openxmlformats.org/drawingml/2006/main">
                    <a:graphicData uri="http://schemas.openxmlformats.org/drawingml/2006/picture">
                      <pic:pic xmlns:pic="http://schemas.openxmlformats.org/drawingml/2006/picture">
                        <pic:nvPicPr>
                          <pic:cNvPr id="317" name="图片 106" descr="启动画面7"/>
                          <pic:cNvPicPr preferRelativeResize="0">
                            <a:picLocks noChangeArrowheads="1"/>
                          </pic:cNvPicPr>
                        </pic:nvPicPr>
                        <pic:blipFill>
                          <a:blip r:embed="rId25"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26</w:t>
            </w:r>
          </w:p>
          <w:p w14:paraId="7EB7E1D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9" name="图片 14" descr="启动画面8"/>
                  <wp:cNvGraphicFramePr/>
                  <a:graphic xmlns:a="http://schemas.openxmlformats.org/drawingml/2006/main">
                    <a:graphicData uri="http://schemas.openxmlformats.org/drawingml/2006/picture">
                      <pic:pic xmlns:pic="http://schemas.openxmlformats.org/drawingml/2006/picture">
                        <pic:nvPicPr>
                          <pic:cNvPr id="319" name="图片 14" descr="启动画面8"/>
                          <pic:cNvPicPr preferRelativeResize="0">
                            <a:picLocks noChangeArrowheads="1"/>
                          </pic:cNvPicPr>
                        </pic:nvPicPr>
                        <pic:blipFill>
                          <a:blip r:embed="rId2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27</w:t>
            </w:r>
          </w:p>
          <w:p w14:paraId="68A8F38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21" name="图片 15" descr="启动画面10"/>
                  <wp:cNvGraphicFramePr/>
                  <a:graphic xmlns:a="http://schemas.openxmlformats.org/drawingml/2006/main">
                    <a:graphicData uri="http://schemas.openxmlformats.org/drawingml/2006/picture">
                      <pic:pic xmlns:pic="http://schemas.openxmlformats.org/drawingml/2006/picture">
                        <pic:nvPicPr>
                          <pic:cNvPr id="321" name="图片 15" descr="启动画面10"/>
                          <pic:cNvPicPr preferRelativeResize="0">
                            <a:picLocks noChangeArrowheads="1"/>
                          </pic:cNvPicPr>
                        </pic:nvPicPr>
                        <pic:blipFill>
                          <a:blip r:embed="rId2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28</w:t>
            </w:r>
          </w:p>
        </w:tc>
        <w:tc>
          <w:tcPr>
            <w:tcW w:w="3597" w:type="pct"/>
            <w:vAlign w:val="center"/>
          </w:tcPr>
          <w:p w14:paraId="0DEA948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10. Información del canal</w:t>
            </w:r>
          </w:p>
          <w:p w14:paraId="1D20DE6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En la configuración de funciones del menú, pulse o seleccione información del canal como se muestra en la figura 24; pulse el botón para entrar en la interfaz de visualización de información del canal; se muestran los valores de lectura baja, lectura alta y rango de cada canal, como se muestra en las figuras 25, 26, 27 y 28.</w:t>
            </w:r>
            <w:r>
              <w:rPr>
                <w:rFonts w:hint="eastAsia" w:ascii="宋体" w:hAnsi="宋体"/>
                <w:color w:val="000000"/>
                <w:sz w:val="20"/>
                <w:szCs w:val="20"/>
              </w:rPr>
              <w:drawing>
                <wp:inline distT="0" distB="0" distL="0" distR="0">
                  <wp:extent cx="182880" cy="175260"/>
                  <wp:effectExtent l="0" t="0" r="20320" b="2540"/>
                  <wp:docPr id="326" name="图片 10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0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25" name="图片 10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10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327" name="图片 10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10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r w14:paraId="7D48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1402" w:type="pct"/>
            <w:vAlign w:val="center"/>
          </w:tcPr>
          <w:p w14:paraId="1BD8102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p>
          <w:p w14:paraId="037EB22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29" name="图片 16" descr="退出菜单"/>
                  <wp:cNvGraphicFramePr/>
                  <a:graphic xmlns:a="http://schemas.openxmlformats.org/drawingml/2006/main">
                    <a:graphicData uri="http://schemas.openxmlformats.org/drawingml/2006/picture">
                      <pic:pic xmlns:pic="http://schemas.openxmlformats.org/drawingml/2006/picture">
                        <pic:nvPicPr>
                          <pic:cNvPr id="329" name="图片 16" descr="退出菜单"/>
                          <pic:cNvPicPr preferRelativeResize="0">
                            <a:picLocks noChangeArrowheads="1"/>
                          </pic:cNvPicPr>
                        </pic:nvPicPr>
                        <pic:blipFill>
                          <a:blip r:embed="rId5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figura 29</w:t>
            </w:r>
          </w:p>
        </w:tc>
        <w:tc>
          <w:tcPr>
            <w:tcW w:w="3597" w:type="pct"/>
            <w:vAlign w:val="center"/>
          </w:tcPr>
          <w:p w14:paraId="2EB9A27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11. Salir del menú</w:t>
            </w:r>
          </w:p>
          <w:p w14:paraId="56BAED3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color w:val="000000"/>
                <w:kern w:val="2"/>
                <w:sz w:val="20"/>
                <w:szCs w:val="20"/>
                <w:lang w:val="en-US" w:eastAsia="zh-CN" w:bidi="ar-SA"/>
              </w:rPr>
              <w:t>Entre en la configuración de funciones del menú, pulse o seleccione salir del menú como se muestra en la figura 29; el botón devuelve a la interfaz de detección normal.</w:t>
            </w:r>
            <w:r>
              <w:rPr>
                <w:rFonts w:hint="eastAsia" w:ascii="宋体" w:hAnsi="宋体"/>
                <w:color w:val="000000"/>
                <w:sz w:val="20"/>
                <w:szCs w:val="20"/>
              </w:rPr>
              <w:drawing>
                <wp:inline distT="0" distB="0" distL="0" distR="0">
                  <wp:extent cx="182880" cy="175260"/>
                  <wp:effectExtent l="0" t="0" r="20320" b="2540"/>
                  <wp:docPr id="333" name="图片 1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1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34" name="图片 1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1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r>
            <w:r>
              <w:rPr>
                <w:rFonts w:hint="eastAsia" w:ascii="宋体" w:hAnsi="宋体"/>
                <w:color w:val="000000"/>
                <w:sz w:val="20"/>
                <w:szCs w:val="20"/>
              </w:rPr>
              <w:drawing>
                <wp:inline distT="0" distB="0" distL="0" distR="0">
                  <wp:extent cx="190500" cy="175260"/>
                  <wp:effectExtent l="0" t="0" r="12700" b="2540"/>
                  <wp:docPr id="335" name="图片 1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1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w:r>
          </w:p>
        </w:tc>
      </w:tr>
    </w:tbl>
    <w:p w14:paraId="147D33B7">
      <w:pPr>
        <w:pageBreakBefore w:val="0"/>
        <w:kinsoku/>
        <w:wordWrap/>
        <w:overflowPunct/>
        <w:topLinePunct w:val="0"/>
        <w:bidi w:val="0"/>
        <w:textAlignment w:val="center"/>
        <w:outlineLvl w:val="9"/>
        <w:rPr>
          <w:rFonts w:ascii="宋体" w:hAnsi="宋体"/>
          <w:color w:val="000000"/>
          <w:sz w:val="20"/>
          <w:szCs w:val="20"/>
        </w:rPr>
      </w:pPr>
    </w:p>
    <w:p w14:paraId="37493B5C">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9" w:name="_Toc8962"/>
      <w:bookmarkStart w:id="10" w:name="_Toc174785546"/>
      <w:r>
        <w:rPr>
          <w:rFonts w:hint="eastAsia" w:ascii="Times New Roman" w:hAnsi="黑体" w:eastAsia="黑体" w:cs="黑体"/>
          <w:b w:val="0"/>
          <w:bCs/>
          <w:color w:val="000000"/>
          <w:kern w:val="2"/>
          <w:sz w:val="24"/>
          <w:szCs w:val="24"/>
          <w:lang w:val="en-US" w:eastAsia="zh-CN" w:bidi="ar-SA"/>
        </w:rPr>
        <w:t>IV. Información de alarmas</w:t>
      </w:r>
      <w:bookmarkEnd w:id="9"/>
      <w:bookmarkEnd w:id="10"/>
    </w:p>
    <w:p w14:paraId="2BF2784A">
      <w:pPr>
        <w:pageBreakBefore w:val="0"/>
        <w:kinsoku/>
        <w:wordWrap/>
        <w:overflowPunct/>
        <w:topLinePunct w:val="0"/>
        <w:bidi w:val="0"/>
        <w:snapToGrid w:val="0"/>
        <w:spacing w:line="312" w:lineRule="auto"/>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La tabla siguiente muestra la información que se visualiza para cada alarma:</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7"/>
        <w:gridCol w:w="3077"/>
      </w:tblGrid>
      <w:tr w14:paraId="7308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0B6A9458">
            <w:pPr>
              <w:pageBreakBefore w:val="0"/>
              <w:kinsoku/>
              <w:wordWrap/>
              <w:overflowPunct/>
              <w:topLinePunct w:val="0"/>
              <w:bidi w:val="0"/>
              <w:snapToGrid w:val="0"/>
              <w:spacing w:line="312" w:lineRule="auto"/>
              <w:jc w:val="center"/>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Tipo de alerta</w:t>
            </w:r>
          </w:p>
        </w:tc>
        <w:tc>
          <w:tcPr>
            <w:tcW w:w="2218" w:type="pct"/>
            <w:vAlign w:val="center"/>
          </w:tcPr>
          <w:p w14:paraId="5F07C383">
            <w:pPr>
              <w:pageBreakBefore w:val="0"/>
              <w:kinsoku/>
              <w:wordWrap/>
              <w:overflowPunct/>
              <w:topLinePunct w:val="0"/>
              <w:bidi w:val="0"/>
              <w:snapToGrid w:val="0"/>
              <w:spacing w:line="312" w:lineRule="auto"/>
              <w:jc w:val="center"/>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Información mostrada</w:t>
            </w:r>
          </w:p>
        </w:tc>
      </w:tr>
      <w:tr w14:paraId="7C4D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3C8C32ED">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Alarma baja:</w:t>
            </w:r>
          </w:p>
          <w:p w14:paraId="2DE3C2D1">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Modulación lenta del tono del sonido de alarma</w:t>
            </w:r>
          </w:p>
          <w:p w14:paraId="64AEA1AF">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Las luces de alarma rojas de ambos grupos parpadearon.</w:t>
            </w:r>
          </w:p>
          <w:p w14:paraId="46A986CE">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宋体" w:cs="Times New Roman"/>
                <w:color w:val="000000"/>
                <w:kern w:val="2"/>
                <w:sz w:val="20"/>
                <w:szCs w:val="20"/>
                <w:lang w:val="en-US" w:eastAsia="zh-CN" w:bidi="ar-SA"/>
              </w:rPr>
              <w:t>vibración</w:t>
            </w:r>
          </w:p>
        </w:tc>
        <w:tc>
          <w:tcPr>
            <w:tcW w:w="2218" w:type="pct"/>
            <w:vAlign w:val="center"/>
          </w:tcPr>
          <w:p w14:paraId="1B025EC7">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09" name="图片 20" descr="未标题-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0" descr="未标题-4"/>
                          <pic:cNvPicPr>
                            <a:picLocks noChangeAspect="1" noChangeArrowheads="1"/>
                          </pic:cNvPicPr>
                        </pic:nvPicPr>
                        <pic:blipFill>
                          <a:blip r:embed="rId51"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r w14:paraId="3FDC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2781" w:type="pct"/>
            <w:vAlign w:val="center"/>
          </w:tcPr>
          <w:p w14:paraId="1B83ADAD">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Alarma alta:</w:t>
            </w:r>
          </w:p>
          <w:p w14:paraId="1C26F8B5">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Sonido de alarma anómalo con cambio rápido de tono</w:t>
            </w:r>
          </w:p>
          <w:p w14:paraId="11F99DCA">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Las luces de alarma de ambos grupos parpadearon.</w:t>
            </w:r>
          </w:p>
          <w:p w14:paraId="0A0DEBA6">
            <w:pPr>
              <w:pageBreakBefore w:val="0"/>
              <w:kinsoku/>
              <w:wordWrap/>
              <w:overflowPunct/>
              <w:topLinePunct w:val="0"/>
              <w:bidi w:val="0"/>
              <w:snapToGrid w:val="0"/>
              <w:spacing w:line="312" w:lineRule="auto"/>
              <w:jc w:val="both"/>
              <w:textAlignment w:val="center"/>
              <w:outlineLvl w:val="9"/>
              <w:rPr>
                <w:rFonts w:ascii="黑体" w:hAnsi="宋体" w:eastAsia="黑体"/>
                <w:color w:val="000000"/>
                <w:sz w:val="20"/>
                <w:szCs w:val="20"/>
              </w:rPr>
            </w:pPr>
            <w:r>
              <w:rPr>
                <w:rFonts w:hint="eastAsia" w:ascii="Times New Roman" w:hAnsi="宋体" w:eastAsia="宋体" w:cs="Times New Roman"/>
                <w:color w:val="000000"/>
                <w:kern w:val="2"/>
                <w:sz w:val="20"/>
                <w:szCs w:val="20"/>
                <w:lang w:val="en-US" w:eastAsia="zh-CN" w:bidi="ar-SA"/>
              </w:rPr>
              <w:t>vibración</w:t>
            </w:r>
          </w:p>
        </w:tc>
        <w:tc>
          <w:tcPr>
            <w:tcW w:w="2218" w:type="pct"/>
            <w:vAlign w:val="center"/>
          </w:tcPr>
          <w:p w14:paraId="0ADE9527">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10" name="图片 110" descr="未标题-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未标题-5"/>
                          <pic:cNvPicPr>
                            <a:picLocks noChangeAspect="1" noChangeArrowheads="1"/>
                          </pic:cNvPicPr>
                        </pic:nvPicPr>
                        <pic:blipFill>
                          <a:blip r:embed="rId52"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r w14:paraId="778A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76464B4A">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Protección y fallo del sensor:</w:t>
            </w:r>
          </w:p>
          <w:p w14:paraId="43112C0A">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Sonido de alarma con cambio brusco de tono</w:t>
            </w:r>
          </w:p>
          <w:p w14:paraId="3F268B63">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En ausencia de gas, la pantalla de concentración indica 100% del límite inferior de explosividad (LEL).</w:t>
            </w:r>
          </w:p>
          <w:p w14:paraId="15829134">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La luz de alarma permanece parpadeando de forma continua en ausencia de gas.</w:t>
            </w:r>
          </w:p>
        </w:tc>
        <w:tc>
          <w:tcPr>
            <w:tcW w:w="2218" w:type="pct"/>
            <w:vAlign w:val="center"/>
          </w:tcPr>
          <w:p w14:paraId="1216F3AD">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11" name="图片 111" descr="未标题-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未标题-6"/>
                          <pic:cNvPicPr>
                            <a:picLocks noChangeAspect="1" noChangeArrowheads="1"/>
                          </pic:cNvPicPr>
                        </pic:nvPicPr>
                        <pic:blipFill>
                          <a:blip r:embed="rId53"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bl>
    <w:p w14:paraId="0C077B05">
      <w:pPr>
        <w:pageBreakBefore w:val="0"/>
        <w:kinsoku/>
        <w:wordWrap/>
        <w:overflowPunct/>
        <w:topLinePunct w:val="0"/>
        <w:bidi w:val="0"/>
        <w:snapToGrid w:val="0"/>
        <w:spacing w:line="312" w:lineRule="auto"/>
        <w:textAlignment w:val="center"/>
        <w:outlineLvl w:val="9"/>
        <w:rPr>
          <w:rFonts w:ascii="宋体" w:hAnsi="宋体"/>
          <w:color w:val="000000"/>
          <w:sz w:val="20"/>
          <w:szCs w:val="20"/>
        </w:rPr>
      </w:pPr>
    </w:p>
    <w:p w14:paraId="1E6EBB4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1" w:name="_Toc20105"/>
      <w:r>
        <w:rPr>
          <w:rFonts w:hint="eastAsia" w:ascii="Times New Roman" w:hAnsi="黑体" w:eastAsia="黑体" w:cs="黑体"/>
          <w:b w:val="0"/>
          <w:bCs/>
          <w:color w:val="000000"/>
          <w:kern w:val="2"/>
          <w:sz w:val="24"/>
          <w:szCs w:val="24"/>
          <w:lang w:val="en-US" w:eastAsia="zh-CN" w:bidi="ar-SA"/>
        </w:rPr>
        <w:t>V. Descripción de la función de carga</w:t>
      </w:r>
      <w:bookmarkEnd w:id="11"/>
    </w:p>
    <w:p w14:paraId="6817F986">
      <w:pPr>
        <w:pageBreakBefore w:val="0"/>
        <w:tabs>
          <w:tab w:val="left" w:pos="360"/>
        </w:tabs>
        <w:kinsoku/>
        <w:wordWrap/>
        <w:overflowPunct/>
        <w:topLinePunct w:val="0"/>
        <w:bidi w:val="0"/>
        <w:snapToGrid w:val="0"/>
        <w:spacing w:line="312" w:lineRule="auto"/>
        <w:ind w:firstLine="400" w:firstLineChars="200"/>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Cuando el dispositivo muestre batería baja o no logre encenderse debido a subtensión, realice la carga de inmediato: con el detector apagado, conecte la clavija del cargador a su puerto de carga y enchufe el conector de CA a una fuente de alimentación de 220V. El detector se activará automáticamente y mostrará el estado de carga. Una vez que el icono de batería de la pantalla se estabilice en capacidad completa, la carga habrá finalizado. En ese momento, desconecte el cargador y el detector reanudará su funcionamiento normal.</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2"/>
        <w:gridCol w:w="3812"/>
      </w:tblGrid>
      <w:tr w14:paraId="4D50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35" w:hRule="atLeast"/>
        </w:trPr>
        <w:tc>
          <w:tcPr>
            <w:tcW w:w="2251" w:type="pct"/>
            <w:vAlign w:val="center"/>
          </w:tcPr>
          <w:p w14:paraId="75F8C9CB">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carga</w:t>
            </w:r>
          </w:p>
          <w:p w14:paraId="66343272">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hint="eastAsia" w:ascii="宋体" w:hAnsi="宋体" w:cs="Times New Roman"/>
                <w:color w:val="000000"/>
                <w:sz w:val="20"/>
                <w:szCs w:val="20"/>
              </w:rPr>
            </w:pPr>
            <w:r>
              <w:rPr>
                <w:rFonts w:hint="eastAsia" w:ascii="Times New Roman" w:hAnsi="宋体" w:eastAsia="宋体" w:cs="Times New Roman"/>
                <w:color w:val="000000"/>
                <w:kern w:val="2"/>
                <w:sz w:val="20"/>
                <w:szCs w:val="20"/>
                <w:lang w:val="en-US" w:eastAsia="zh-CN" w:bidi="ar-SA"/>
              </w:rPr>
              <w:t>Una vez finalizada la interfaz de bienvenida, muestra «Cargando en curso!!!» junto con un mensaje de bienvenida.</w:t>
            </w:r>
          </w:p>
          <w:p w14:paraId="47F7035B">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hint="eastAsia" w:ascii="宋体" w:hAnsi="宋体" w:cs="Times New Roman"/>
                <w:color w:val="000000"/>
                <w:sz w:val="20"/>
                <w:szCs w:val="20"/>
              </w:rPr>
            </w:pPr>
            <w:r>
              <w:rPr>
                <w:rFonts w:hint="eastAsia" w:ascii="Times New Roman" w:hAnsi="宋体" w:eastAsia="宋体" w:cs="Times New Roman"/>
                <w:color w:val="000000"/>
                <w:kern w:val="2"/>
                <w:sz w:val="20"/>
                <w:szCs w:val="20"/>
                <w:lang w:val="en-US" w:eastAsia="zh-CN" w:bidi="ar-SA"/>
              </w:rPr>
              <w:t>lámpara roja parpadeante</w:t>
            </w:r>
          </w:p>
          <w:p w14:paraId="6FC516F8">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La batería queda completamente cargada tras la carga.</w:t>
            </w:r>
          </w:p>
        </w:tc>
        <w:tc>
          <w:tcPr>
            <w:tcW w:w="2748" w:type="pct"/>
            <w:vAlign w:val="center"/>
          </w:tcPr>
          <w:p w14:paraId="6DD3167A">
            <w:pPr>
              <w:pageBreakBefore w:val="0"/>
              <w:kinsoku/>
              <w:wordWrap/>
              <w:overflowPunct/>
              <w:topLinePunct w:val="0"/>
              <w:bidi w:val="0"/>
              <w:snapToGrid w:val="0"/>
              <w:spacing w:line="312" w:lineRule="auto"/>
              <w:ind w:firstLine="600" w:firstLineChars="300"/>
              <w:jc w:val="both"/>
              <w:textAlignment w:val="center"/>
              <w:outlineLvl w:val="9"/>
              <w:rPr>
                <w:rFonts w:ascii="宋体" w:hAnsi="宋体"/>
                <w:color w:val="000000"/>
                <w:sz w:val="20"/>
                <w:szCs w:val="20"/>
              </w:rPr>
            </w:pPr>
            <w:r>
              <w:rPr>
                <w:sz w:val="20"/>
                <w:szCs w:val="20"/>
              </w:rPr>
              <w:drawing>
                <wp:inline distT="0" distB="0" distL="0" distR="0">
                  <wp:extent cx="1508760" cy="777240"/>
                  <wp:effectExtent l="19050" t="0" r="0" b="0"/>
                  <wp:docPr id="112" name="图片 21" descr="未标题-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1" descr="未标题-4"/>
                          <pic:cNvPicPr>
                            <a:picLocks noChangeAspect="1" noChangeArrowheads="1"/>
                          </pic:cNvPicPr>
                        </pic:nvPicPr>
                        <pic:blipFill>
                          <a:blip r:embed="rId54" cstate="print"/>
                          <a:srcRect/>
                          <a:stretch>
                            <a:fillRect/>
                          </a:stretch>
                        </pic:blipFill>
                        <pic:spPr>
                          <a:xfrm>
                            <a:off x="0" y="0"/>
                            <a:ext cx="1508760" cy="777240"/>
                          </a:xfrm>
                          <a:prstGeom prst="rect">
                            <a:avLst/>
                          </a:prstGeom>
                          <a:noFill/>
                          <a:ln w="9525">
                            <a:noFill/>
                            <a:miter lim="800000"/>
                            <a:headEnd/>
                            <a:tailEnd/>
                          </a:ln>
                        </pic:spPr>
                      </pic:pic>
                    </a:graphicData>
                  </a:graphic>
                </wp:inline>
              </w:drawing>
            </w:r>
          </w:p>
        </w:tc>
      </w:tr>
      <w:tr w14:paraId="1BBE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2251" w:type="pct"/>
            <w:vAlign w:val="center"/>
          </w:tcPr>
          <w:p w14:paraId="26853C6C">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subtensión</w:t>
            </w:r>
          </w:p>
          <w:p w14:paraId="389CE280">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Notificación por sonido de alarma</w:t>
            </w:r>
          </w:p>
          <w:p w14:paraId="18FFE38A">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La interfaz muestra «Recargue, por favor» y le pide que cargue el dispositivo cuanto antes en un lugar seguro. De lo contrario, el dispositivo se apagará automáticamente.</w:t>
            </w:r>
          </w:p>
        </w:tc>
        <w:tc>
          <w:tcPr>
            <w:tcW w:w="2748" w:type="pct"/>
            <w:vAlign w:val="center"/>
          </w:tcPr>
          <w:p w14:paraId="717C31BD">
            <w:pPr>
              <w:pageBreakBefore w:val="0"/>
              <w:kinsoku/>
              <w:wordWrap/>
              <w:overflowPunct/>
              <w:topLinePunct w:val="0"/>
              <w:bidi w:val="0"/>
              <w:snapToGrid w:val="0"/>
              <w:spacing w:line="312" w:lineRule="auto"/>
              <w:jc w:val="center"/>
              <w:textAlignment w:val="center"/>
              <w:outlineLvl w:val="9"/>
              <w:rPr>
                <w:rFonts w:ascii="宋体" w:hAnsi="宋体"/>
                <w:color w:val="000000"/>
                <w:sz w:val="20"/>
                <w:szCs w:val="20"/>
              </w:rPr>
            </w:pPr>
            <w:r>
              <w:rPr>
                <w:sz w:val="20"/>
                <w:szCs w:val="20"/>
              </w:rPr>
              <w:object>
                <v:shape id="_x0000_i1025" o:spt="75" type="#_x0000_t75" style="height:64.5pt;width:123.75pt;" o:ole="t" filled="f" o:preferrelative="t" stroked="f" coordsize="21600,21600">
                  <v:path/>
                  <v:fill on="f" focussize="0,0"/>
                  <v:stroke on="f" joinstyle="miter"/>
                  <v:imagedata r:id="rId56" o:title=""/>
                  <o:lock v:ext="edit" aspectratio="t"/>
                  <w10:wrap type="none"/>
                  <w10:anchorlock/>
                </v:shape>
                <o:OLEObject Type="Embed" ProgID="PBrush" ShapeID="_x0000_i1025" DrawAspect="Content" ObjectID="_1468075725" r:id="rId55">
                  <o:LockedField>false</o:LockedField>
                </o:OLEObject>
              </w:object>
            </w:r>
          </w:p>
        </w:tc>
      </w:tr>
    </w:tbl>
    <w:p w14:paraId="598094B7">
      <w:pPr>
        <w:pageBreakBefore w:val="0"/>
        <w:kinsoku/>
        <w:wordWrap/>
        <w:overflowPunct/>
        <w:topLinePunct w:val="0"/>
        <w:bidi w:val="0"/>
        <w:snapToGrid w:val="0"/>
        <w:spacing w:line="312" w:lineRule="auto"/>
        <w:ind w:firstLine="402" w:firstLineChars="200"/>
        <w:textAlignment w:val="center"/>
        <w:outlineLvl w:val="9"/>
        <w:rPr>
          <w:rFonts w:hint="eastAsia" w:ascii="宋体" w:hAnsi="宋体"/>
          <w:b/>
          <w:iCs/>
          <w:color w:val="000000"/>
          <w:sz w:val="20"/>
          <w:szCs w:val="20"/>
          <w:lang w:eastAsia="zh-CN"/>
        </w:rPr>
      </w:pPr>
      <w:r>
        <w:rPr>
          <w:rFonts w:hint="eastAsia" w:ascii="Times New Roman" w:hAnsi="宋体" w:eastAsia="宋体" w:cs="Times New Roman"/>
          <w:b/>
          <w:iCs/>
          <w:color w:val="000000"/>
          <w:kern w:val="2"/>
          <w:sz w:val="20"/>
          <w:szCs w:val="20"/>
          <w:lang w:val="en-US" w:eastAsia="zh-CN" w:bidi="ar-SA"/>
        </w:rPr>
        <w:t>Advertencia: cargar el detector mientras está apagado impide su activación para realizar pruebas. No cargue el detector en el lugar de la prueba para evitar incendios o explosiones provocados por las chispas al desconectar el cargador. Además, evite cargar el detector mientras está encendido para no interferir en la velocidad de carga.</w:t>
      </w:r>
    </w:p>
    <w:p w14:paraId="50DB5FD7">
      <w:pPr>
        <w:pageBreakBefore w:val="0"/>
        <w:kinsoku/>
        <w:wordWrap/>
        <w:overflowPunct/>
        <w:topLinePunct w:val="0"/>
        <w:bidi w:val="0"/>
        <w:snapToGrid w:val="0"/>
        <w:spacing w:line="312" w:lineRule="auto"/>
        <w:ind w:firstLine="400" w:firstLineChars="200"/>
        <w:textAlignment w:val="center"/>
        <w:outlineLvl w:val="9"/>
        <w:rPr>
          <w:rFonts w:hint="eastAsia" w:ascii="宋体" w:hAnsi="宋体"/>
          <w:b w:val="0"/>
          <w:bCs/>
          <w:iCs/>
          <w:color w:val="000000"/>
          <w:sz w:val="20"/>
          <w:szCs w:val="20"/>
          <w:lang w:eastAsia="zh-CN"/>
        </w:rPr>
      </w:pPr>
    </w:p>
    <w:p w14:paraId="6F39594A">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2" w:name="_Toc28209"/>
      <w:r>
        <w:rPr>
          <w:rFonts w:hint="eastAsia" w:ascii="Times New Roman" w:hAnsi="黑体" w:eastAsia="黑体" w:cs="黑体"/>
          <w:b w:val="0"/>
          <w:bCs/>
          <w:color w:val="000000"/>
          <w:kern w:val="2"/>
          <w:sz w:val="24"/>
          <w:szCs w:val="24"/>
          <w:lang w:val="en-US" w:eastAsia="zh-CN" w:bidi="ar-SA"/>
        </w:rPr>
        <w:t>VI. Precauciones de uso</w:t>
      </w:r>
      <w:bookmarkEnd w:id="12"/>
    </w:p>
    <w:p w14:paraId="356E3407">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 Evite que el dispositivo caiga desde una altura o sufra vibraciones intensas.</w:t>
      </w:r>
    </w:p>
    <w:p w14:paraId="28AAC38F">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(2) El dispositivo puede no funcionar correctamente en presencia de gases de alta concentración.</w:t>
      </w:r>
    </w:p>
    <w:p w14:paraId="62072610">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(3) Siga estrictamente las instrucciones de operación y uso; de lo contrario, podrían obtenerse resultados de prueba inexactos o dañarse el dispositivo.</w:t>
      </w:r>
    </w:p>
    <w:p w14:paraId="0596D132">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(4) Este producto no debe almacenarse ni utilizarse en entornos que contengan gases corrosivos (como concentraciones elevadas de cloro gaseoso), ni debe utilizarse ni almacenarse en otras condiciones severas (incluidas temperaturas extremas, humedad elevada, campos electromagnéticos o luz solar intensa).</w:t>
      </w:r>
    </w:p>
    <w:p w14:paraId="4AC657C9">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(5) Si la superficie de este dispositivo se ensucia tras un uso prolongado, límpiela suavemente con un paño suave y limpio humedecido con agua. Evite utilizar disolventes corrosivos u objetos duros para la limpieza, ya que podrían provocar arañazos o daños en la superficie del dispositivo.</w:t>
      </w:r>
    </w:p>
    <w:p w14:paraId="4BD9148E">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(6) Para garantizar la precisión de la detección, este dispositivo debe someterse a una calibración periódica, sin que el ciclo de verificación supere un año.</w:t>
      </w:r>
    </w:p>
    <w:p w14:paraId="7416C437">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(7) Se recomienda una vida útil de 5 años para los sensores infrarrojos y los sensores semiconductores, y una vida útil de 2 años para los sensores catalíticos y los sensores electroquímicos.</w:t>
      </w:r>
    </w:p>
    <w:p w14:paraId="7C22765E">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(8) Retire la batería de litio y los sensores del detector desechado y entréguelos en el lugar designado o devuélvalos a nuestra empresa. No los arroje a los contenedores de basura de forma indiscriminada.</w:t>
      </w:r>
    </w:p>
    <w:p w14:paraId="6B703398">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(9) Para cualquier aplicación o problema de uso distinto de los descritos en este manual, póngase en contacto con nuestra empresa para obtener asistencia.</w:t>
      </w:r>
    </w:p>
    <w:p w14:paraId="1EA2093C">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(10) Los paquetes de baterías no deben desmontarse ni sustituirse, ni cargarse en entornos con gases explosivos. No deben utilizarse dispositivos periféricos enchufables sin certificación antideflagrante, ni deben sustituirse sensores en dichos entornos.</w:t>
      </w:r>
    </w:p>
    <w:p w14:paraId="5DC25ED2">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(11) A los productos con certificación antideflagrante no se les deben sustituir ni modificar de forma arbitraria componentes o estructuras que afecten a su rendimiento antideflagrante.</w:t>
      </w:r>
    </w:p>
    <w:p w14:paraId="43CF8FD5">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(12) Las normas nacionales pertinentes contienen reglamentos explícitos sobre la selección, la instalación o el uso de equipos eléctricos en entornos con riesgo de explosión. Las entidades instaladoras o usuarias deben cumplir estrictamente estas disposiciones para garantizar la seguridad antideflagrante de los equipos eléctricos en dichas zonas.</w:t>
      </w:r>
    </w:p>
    <w:p w14:paraId="7ACE0AE9">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(13) La carga debe realizarse en un lugar seguro y con el cargador profesional suministrado con este dispositivo.</w:t>
      </w:r>
    </w:p>
    <w:p w14:paraId="2898F97C">
      <w:pPr>
        <w:pageBreakBefore w:val="0"/>
        <w:kinsoku/>
        <w:wordWrap/>
        <w:overflowPunct/>
        <w:topLinePunct w:val="0"/>
        <w:bidi w:val="0"/>
        <w:textAlignment w:val="center"/>
        <w:outlineLvl w:val="9"/>
        <w:rPr>
          <w:rFonts w:hint="eastAsia" w:ascii="宋体" w:hAnsi="宋体"/>
          <w:color w:val="000000"/>
          <w:sz w:val="20"/>
          <w:szCs w:val="20"/>
          <w:lang w:eastAsia="zh-CN"/>
        </w:rPr>
      </w:pPr>
    </w:p>
    <w:p w14:paraId="0F613589">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3" w:name="_Toc19694"/>
      <w:r>
        <w:rPr>
          <w:rFonts w:hint="eastAsia" w:ascii="Times New Roman" w:hAnsi="黑体" w:eastAsia="黑体" w:cs="黑体"/>
          <w:b w:val="0"/>
          <w:bCs/>
          <w:color w:val="000000"/>
          <w:kern w:val="2"/>
          <w:sz w:val="24"/>
          <w:szCs w:val="24"/>
          <w:lang w:val="en-US" w:eastAsia="zh-CN" w:bidi="ar-SA"/>
        </w:rPr>
        <w:t>VII. Fallos comunes y sus soluciones</w:t>
      </w:r>
      <w:bookmarkEnd w:id="13"/>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2222"/>
        <w:gridCol w:w="2337"/>
      </w:tblGrid>
      <w:tr w14:paraId="1DFD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CC3F776">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fenómeno de fallo</w:t>
            </w:r>
          </w:p>
        </w:tc>
        <w:tc>
          <w:tcPr>
            <w:tcW w:w="1602" w:type="pct"/>
            <w:noWrap w:val="0"/>
            <w:vAlign w:val="center"/>
          </w:tcPr>
          <w:p w14:paraId="3A330A99">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Posible causa del fallo</w:t>
            </w:r>
          </w:p>
        </w:tc>
        <w:tc>
          <w:tcPr>
            <w:tcW w:w="1684" w:type="pct"/>
            <w:noWrap w:val="0"/>
            <w:vAlign w:val="center"/>
          </w:tcPr>
          <w:p w14:paraId="1C57DE8A">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modo de solución</w:t>
            </w:r>
          </w:p>
        </w:tc>
      </w:tr>
      <w:tr w14:paraId="16E8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626D4467">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No enciende</w:t>
            </w:r>
          </w:p>
        </w:tc>
        <w:tc>
          <w:tcPr>
            <w:tcW w:w="1602" w:type="pct"/>
            <w:noWrap w:val="0"/>
            <w:vAlign w:val="center"/>
          </w:tcPr>
          <w:p w14:paraId="0534260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tensión por debajo del nivel</w:t>
            </w:r>
          </w:p>
        </w:tc>
        <w:tc>
          <w:tcPr>
            <w:tcW w:w="1684" w:type="pct"/>
            <w:noWrap w:val="0"/>
            <w:vAlign w:val="center"/>
          </w:tcPr>
          <w:p w14:paraId="7520F18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Cargue el dispositivo cuanto antes</w:t>
            </w:r>
          </w:p>
        </w:tc>
      </w:tr>
      <w:tr w14:paraId="1DCD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349F939E">
            <w:pPr>
              <w:ind w:firstLine="0" w:firstLineChars="0"/>
              <w:jc w:val="center"/>
              <w:textAlignment w:val="center"/>
              <w:rPr>
                <w:rFonts w:hint="eastAsia"/>
                <w:color w:val="auto"/>
                <w:sz w:val="20"/>
                <w:szCs w:val="20"/>
              </w:rPr>
            </w:pPr>
          </w:p>
        </w:tc>
        <w:tc>
          <w:tcPr>
            <w:tcW w:w="1602" w:type="pct"/>
            <w:noWrap w:val="0"/>
            <w:vAlign w:val="center"/>
          </w:tcPr>
          <w:p w14:paraId="7F440A4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sistema bloqueado</w:t>
            </w:r>
          </w:p>
        </w:tc>
        <w:tc>
          <w:tcPr>
            <w:tcW w:w="1684" w:type="pct"/>
            <w:noWrap w:val="0"/>
            <w:vAlign w:val="center"/>
          </w:tcPr>
          <w:p w14:paraId="3BD03604">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Póngase en contacto con el distribuidor o el fabricante para la reparación</w:t>
            </w:r>
          </w:p>
        </w:tc>
      </w:tr>
      <w:tr w14:paraId="1B60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0D134565">
            <w:pPr>
              <w:ind w:firstLine="0" w:firstLineChars="0"/>
              <w:jc w:val="center"/>
              <w:textAlignment w:val="center"/>
              <w:rPr>
                <w:rFonts w:hint="eastAsia"/>
                <w:color w:val="auto"/>
                <w:sz w:val="20"/>
                <w:szCs w:val="20"/>
              </w:rPr>
            </w:pPr>
          </w:p>
        </w:tc>
        <w:tc>
          <w:tcPr>
            <w:tcW w:w="1602" w:type="pct"/>
            <w:noWrap w:val="0"/>
            <w:vAlign w:val="center"/>
          </w:tcPr>
          <w:p w14:paraId="3D921A7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fallo</w:t>
            </w:r>
          </w:p>
        </w:tc>
        <w:tc>
          <w:tcPr>
            <w:tcW w:w="1684" w:type="pct"/>
            <w:noWrap w:val="0"/>
            <w:vAlign w:val="center"/>
          </w:tcPr>
          <w:p w14:paraId="661A7B2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Póngase en contacto con el distribuidor o el fabricante para la reparación</w:t>
            </w:r>
          </w:p>
        </w:tc>
      </w:tr>
      <w:tr w14:paraId="412E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0F659F51">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Sin reacción al gas detectado</w:t>
            </w:r>
          </w:p>
        </w:tc>
        <w:tc>
          <w:tcPr>
            <w:tcW w:w="1602" w:type="pct"/>
            <w:noWrap w:val="0"/>
            <w:vAlign w:val="center"/>
          </w:tcPr>
          <w:p w14:paraId="4C10CE9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Fallo del circuito o vida útil del sensor agotada</w:t>
            </w:r>
          </w:p>
        </w:tc>
        <w:tc>
          <w:tcPr>
            <w:tcW w:w="1684" w:type="pct"/>
            <w:noWrap w:val="0"/>
            <w:vAlign w:val="center"/>
          </w:tcPr>
          <w:p w14:paraId="49B59836">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Póngase en contacto con el distribuidor o el fabricante para la reparación</w:t>
            </w:r>
          </w:p>
        </w:tc>
      </w:tr>
      <w:tr w14:paraId="076A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0B3E547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La pantalla es inexacta</w:t>
            </w:r>
          </w:p>
        </w:tc>
        <w:tc>
          <w:tcPr>
            <w:tcW w:w="1602" w:type="pct"/>
            <w:noWrap w:val="0"/>
            <w:vAlign w:val="center"/>
          </w:tcPr>
          <w:p w14:paraId="5E5640A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Sensor agotado</w:t>
            </w:r>
          </w:p>
        </w:tc>
        <w:tc>
          <w:tcPr>
            <w:tcW w:w="1684" w:type="pct"/>
            <w:noWrap w:val="0"/>
            <w:vAlign w:val="center"/>
          </w:tcPr>
          <w:p w14:paraId="49FF31FB">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Póngase en contacto con el distribuidor o el fabricante para la reparación</w:t>
            </w:r>
          </w:p>
        </w:tc>
      </w:tr>
      <w:tr w14:paraId="6DA5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2F466927">
            <w:pPr>
              <w:ind w:firstLine="0" w:firstLineChars="0"/>
              <w:jc w:val="center"/>
              <w:textAlignment w:val="center"/>
              <w:rPr>
                <w:rFonts w:hint="eastAsia"/>
                <w:color w:val="auto"/>
                <w:sz w:val="20"/>
                <w:szCs w:val="20"/>
              </w:rPr>
            </w:pPr>
          </w:p>
        </w:tc>
        <w:tc>
          <w:tcPr>
            <w:tcW w:w="1602" w:type="pct"/>
            <w:noWrap w:val="0"/>
            <w:vAlign w:val="center"/>
          </w:tcPr>
          <w:p w14:paraId="31CC5EA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Sin calibrar durante mucho tiempo</w:t>
            </w:r>
          </w:p>
        </w:tc>
        <w:tc>
          <w:tcPr>
            <w:tcW w:w="1684" w:type="pct"/>
            <w:noWrap w:val="0"/>
            <w:vAlign w:val="center"/>
          </w:tcPr>
          <w:p w14:paraId="0D500699">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Calibre cuanto antes</w:t>
            </w:r>
          </w:p>
        </w:tc>
      </w:tr>
      <w:tr w14:paraId="71CC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49AC7B2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Error de visualización de la hora</w:t>
            </w:r>
          </w:p>
        </w:tc>
        <w:tc>
          <w:tcPr>
            <w:tcW w:w="1602" w:type="pct"/>
            <w:noWrap w:val="0"/>
            <w:vAlign w:val="center"/>
          </w:tcPr>
          <w:p w14:paraId="5285BB3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La batería está completamente agotada</w:t>
            </w:r>
          </w:p>
        </w:tc>
        <w:tc>
          <w:tcPr>
            <w:tcW w:w="1684" w:type="pct"/>
            <w:noWrap w:val="0"/>
            <w:vAlign w:val="center"/>
          </w:tcPr>
          <w:p w14:paraId="1FEFA739">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Cargue cuanto antes y restablezca la hora</w:t>
            </w:r>
          </w:p>
        </w:tc>
      </w:tr>
      <w:tr w14:paraId="6930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162F2B41">
            <w:pPr>
              <w:ind w:firstLine="0" w:firstLineChars="0"/>
              <w:jc w:val="center"/>
              <w:textAlignment w:val="center"/>
              <w:rPr>
                <w:rFonts w:hint="eastAsia"/>
                <w:color w:val="auto"/>
                <w:sz w:val="20"/>
                <w:szCs w:val="20"/>
              </w:rPr>
            </w:pPr>
          </w:p>
        </w:tc>
        <w:tc>
          <w:tcPr>
            <w:tcW w:w="1602" w:type="pct"/>
            <w:noWrap w:val="0"/>
            <w:vAlign w:val="center"/>
          </w:tcPr>
          <w:p w14:paraId="15ECDF4A">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interferencia electromagnética intensa</w:t>
            </w:r>
          </w:p>
        </w:tc>
        <w:tc>
          <w:tcPr>
            <w:tcW w:w="1684" w:type="pct"/>
            <w:noWrap w:val="0"/>
            <w:vAlign w:val="center"/>
          </w:tcPr>
          <w:p w14:paraId="1EA3C33A">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Restablecer la hora</w:t>
            </w:r>
          </w:p>
        </w:tc>
      </w:tr>
      <w:tr w14:paraId="3A47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4A6E62AE">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La calibración a cero no está disponible</w:t>
            </w:r>
          </w:p>
        </w:tc>
        <w:tc>
          <w:tcPr>
            <w:tcW w:w="1602" w:type="pct"/>
            <w:noWrap w:val="0"/>
            <w:vAlign w:val="center"/>
          </w:tcPr>
          <w:p w14:paraId="3D71761F">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Deriva excesiva del sensor</w:t>
            </w:r>
          </w:p>
        </w:tc>
        <w:tc>
          <w:tcPr>
            <w:tcW w:w="1684" w:type="pct"/>
            <w:noWrap w:val="0"/>
            <w:vAlign w:val="center"/>
          </w:tcPr>
          <w:p w14:paraId="66D13D0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Calibre o sustituya el sensor cuanto antes</w:t>
            </w:r>
          </w:p>
        </w:tc>
      </w:tr>
      <w:tr w14:paraId="092C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32BC004">
            <w:pPr>
              <w:ind w:firstLine="0" w:firstLineChars="0"/>
              <w:jc w:val="center"/>
              <w:textAlignment w:val="center"/>
              <w:rPr>
                <w:rFonts w:hint="eastAsia" w:eastAsia="宋体"/>
                <w:color w:val="auto"/>
                <w:sz w:val="20"/>
                <w:szCs w:val="20"/>
                <w:highlight w:val="none"/>
                <w:lang w:eastAsia="zh-CN"/>
              </w:rPr>
            </w:pPr>
            <w:r>
              <w:rPr>
                <w:rFonts w:hint="eastAsia" w:ascii="Times New Roman" w:hAnsi="Times New Roman" w:eastAsia="宋体" w:cs="Times New Roman"/>
                <w:color w:val="auto"/>
                <w:kern w:val="2"/>
                <w:sz w:val="20"/>
                <w:szCs w:val="20"/>
                <w:highlight w:val="none"/>
                <w:lang w:val="en-US" w:eastAsia="zh-CN" w:bidi="ar-SA"/>
              </w:rPr>
              <w:t>Muestra valores distintos de cero en entornos de aire limpio</w:t>
            </w:r>
          </w:p>
        </w:tc>
        <w:tc>
          <w:tcPr>
            <w:tcW w:w="1602" w:type="pct"/>
            <w:noWrap w:val="0"/>
            <w:vAlign w:val="center"/>
          </w:tcPr>
          <w:p w14:paraId="47DCE5F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Deriva del sensor</w:t>
            </w:r>
          </w:p>
        </w:tc>
        <w:tc>
          <w:tcPr>
            <w:tcW w:w="1684" w:type="pct"/>
            <w:noWrap w:val="0"/>
            <w:vAlign w:val="center"/>
          </w:tcPr>
          <w:p w14:paraId="6C27C8A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Realice la calibración a cero</w:t>
            </w:r>
          </w:p>
        </w:tc>
      </w:tr>
      <w:tr w14:paraId="0FD3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95CEC72">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La interfaz de detección normal del instrumento muestra la indicación de rango completo</w:t>
            </w:r>
          </w:p>
        </w:tc>
        <w:tc>
          <w:tcPr>
            <w:tcW w:w="1602" w:type="pct"/>
            <w:noWrap w:val="0"/>
            <w:vAlign w:val="center"/>
          </w:tcPr>
          <w:p w14:paraId="253466C2">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Fallo del sensor</w:t>
            </w:r>
          </w:p>
        </w:tc>
        <w:tc>
          <w:tcPr>
            <w:tcW w:w="1684" w:type="pct"/>
            <w:noWrap w:val="0"/>
            <w:vAlign w:val="center"/>
          </w:tcPr>
          <w:p w14:paraId="5ABA4D8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Póngase en contacto con el distribuidor o el fabricante para sustituir el sensor.</w:t>
            </w:r>
          </w:p>
        </w:tc>
      </w:tr>
    </w:tbl>
    <w:p w14:paraId="6E5CD940">
      <w:pPr>
        <w:pageBreakBefore w:val="0"/>
        <w:kinsoku/>
        <w:wordWrap/>
        <w:overflowPunct/>
        <w:topLinePunct w:val="0"/>
        <w:bidi w:val="0"/>
        <w:textAlignment w:val="center"/>
        <w:outlineLvl w:val="9"/>
        <w:rPr>
          <w:b/>
          <w:sz w:val="20"/>
          <w:szCs w:val="20"/>
        </w:rPr>
      </w:pPr>
    </w:p>
    <w:p w14:paraId="64E6ABA5">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4" w:name="_Toc19018"/>
      <w:r>
        <w:rPr>
          <w:rFonts w:hint="eastAsia" w:ascii="Times New Roman" w:hAnsi="黑体" w:eastAsia="黑体" w:cs="黑体"/>
          <w:b w:val="0"/>
          <w:bCs/>
          <w:color w:val="000000"/>
          <w:kern w:val="2"/>
          <w:sz w:val="24"/>
          <w:szCs w:val="24"/>
          <w:lang w:val="en-US" w:eastAsia="zh-CN" w:bidi="ar-SA"/>
        </w:rPr>
        <w:t>VIII. Almacenamiento</w:t>
      </w:r>
      <w:bookmarkEnd w:id="14"/>
    </w:p>
    <w:p w14:paraId="28C063B9">
      <w:pPr>
        <w:pStyle w:val="15"/>
        <w:pageBreakBefore w:val="0"/>
        <w:kinsoku/>
        <w:wordWrap/>
        <w:overflowPunct/>
        <w:topLinePunct w:val="0"/>
        <w:bidi w:val="0"/>
        <w:ind w:firstLine="360"/>
        <w:textAlignment w:val="center"/>
        <w:outlineLvl w:val="9"/>
        <w:rPr>
          <w:rFonts w:hint="eastAsia" w:hAnsi="宋体" w:eastAsia="宋体"/>
          <w:color w:val="000000"/>
          <w:sz w:val="20"/>
          <w:szCs w:val="20"/>
          <w:lang w:eastAsia="zh-CN"/>
        </w:rPr>
      </w:pPr>
      <w:r>
        <w:rPr>
          <w:rFonts w:hint="eastAsia" w:ascii="Times New Roman" w:hAnsi="宋体" w:eastAsia="宋体" w:cs="Times New Roman"/>
          <w:color w:val="000000"/>
          <w:sz w:val="20"/>
          <w:szCs w:val="20"/>
          <w:lang w:val="en-US" w:eastAsia="zh-CN" w:bidi="ar-SA"/>
        </w:rPr>
        <w:t>El producto debe almacenarse en una sala ventilada con una temperatura ambiente de entre -10°C y +55°C y una humedad relativa no superior al 85%, y el aire debe estar libre de gases nocivos o impurezas que puedan corroer el producto.</w:t>
      </w:r>
    </w:p>
    <w:p w14:paraId="3F5B6F5B">
      <w:pPr>
        <w:pStyle w:val="15"/>
        <w:pageBreakBefore w:val="0"/>
        <w:kinsoku/>
        <w:wordWrap/>
        <w:overflowPunct/>
        <w:topLinePunct w:val="0"/>
        <w:bidi w:val="0"/>
        <w:ind w:firstLine="360"/>
        <w:textAlignment w:val="center"/>
        <w:outlineLvl w:val="9"/>
        <w:rPr>
          <w:rFonts w:hint="eastAsia" w:hAnsi="宋体"/>
          <w:color w:val="000000"/>
          <w:sz w:val="20"/>
          <w:szCs w:val="20"/>
        </w:rPr>
      </w:pPr>
    </w:p>
    <w:p w14:paraId="5BC14906">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5" w:name="_Toc19826"/>
      <w:r>
        <w:rPr>
          <w:rFonts w:hint="eastAsia" w:ascii="Times New Roman" w:hAnsi="黑体" w:eastAsia="黑体" w:cs="黑体"/>
          <w:b w:val="0"/>
          <w:bCs/>
          <w:color w:val="000000"/>
          <w:kern w:val="2"/>
          <w:sz w:val="24"/>
          <w:szCs w:val="24"/>
          <w:lang w:val="en-US" w:eastAsia="zh-CN" w:bidi="ar-SA"/>
        </w:rPr>
        <w:t>IX. Accesorios</w:t>
      </w:r>
      <w:bookmarkEnd w:id="15"/>
    </w:p>
    <w:p w14:paraId="27A2802A">
      <w:pPr>
        <w:pageBreakBefore w:val="0"/>
        <w:kinsoku/>
        <w:wordWrap/>
        <w:overflowPunct/>
        <w:topLinePunct w:val="0"/>
        <w:bidi w:val="0"/>
        <w:ind w:firstLine="300" w:firstLineChars="15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Los productos que se acompañan incluyen un detector de gas portátil con alarma, un manual de usuario, un certificado de conformidad del producto y tarjeta de garantía, un informe de inspección de fábrica y un juego de cargadores.</w:t>
      </w:r>
    </w:p>
    <w:p w14:paraId="62A1E809">
      <w:pPr>
        <w:pageBreakBefore w:val="0"/>
        <w:kinsoku/>
        <w:wordWrap/>
        <w:overflowPunct/>
        <w:topLinePunct w:val="0"/>
        <w:bidi w:val="0"/>
        <w:textAlignment w:val="center"/>
        <w:outlineLvl w:val="9"/>
        <w:rPr>
          <w:sz w:val="20"/>
          <w:szCs w:val="20"/>
        </w:rPr>
      </w:pPr>
    </w:p>
    <w:p w14:paraId="346BFCA9">
      <w:pPr>
        <w:pageBreakBefore w:val="0"/>
        <w:kinsoku/>
        <w:wordWrap/>
        <w:overflowPunct/>
        <w:topLinePunct w:val="0"/>
        <w:bidi w:val="0"/>
        <w:textAlignment w:val="center"/>
        <w:outlineLvl w:val="9"/>
        <w:rPr>
          <w:sz w:val="20"/>
          <w:szCs w:val="20"/>
        </w:rPr>
        <w:sectPr>
          <w:headerReference r:id="rId4" w:type="first"/>
          <w:footerReference r:id="rId6" w:type="first"/>
          <w:footerReference r:id="rId5" w:type="default"/>
          <w:pgSz w:w="8419" w:h="11906" w:orient="landscape"/>
          <w:pgMar w:top="737" w:right="850" w:bottom="737" w:left="850" w:header="510" w:footer="510" w:gutter="0"/>
          <w:pgNumType w:fmt="decimal" w:start="1"/>
          <w:cols w:space="720" w:num="1"/>
          <w:titlePg/>
          <w:docGrid w:type="lines" w:linePitch="326" w:charSpace="0"/>
        </w:sectPr>
      </w:pPr>
    </w:p>
    <w:p w14:paraId="33094783">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7EA2256">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4FFE8025">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507C9974">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7AFFF53">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342F9C5C">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7D859D18">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4A0BCE6">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bCs/>
          <w:color w:val="auto"/>
          <w:sz w:val="32"/>
          <w:szCs w:val="28"/>
          <w:lang w:eastAsia="zh-CN"/>
        </w:rPr>
      </w:pPr>
      <w:r>
        <w:rPr>
          <w:rFonts w:hint="eastAsia" w:ascii="Times New Roman" w:hAnsi="微软雅黑" w:eastAsia="微软雅黑" w:cs="微软雅黑"/>
          <w:b/>
          <w:bCs/>
          <w:color w:val="auto"/>
          <w:kern w:val="2"/>
          <w:sz w:val="32"/>
          <w:szCs w:val="28"/>
          <w:lang w:val="en-US" w:eastAsia="zh-CN" w:bidi="ar-SA"/>
        </w:rPr>
        <w:t>Henan Otywell Electronic Technology Co., Ltd.</w:t>
      </w:r>
      <w:r>
        <w:rPr>
          <w:rFonts w:hint="default" w:hAnsi="微软雅黑" w:eastAsia="微软雅黑" w:cs="微软雅黑"/>
          <w:b/>
          <w:bCs/>
          <w:color w:val="auto"/>
          <w:kern w:val="2"/>
          <w:sz w:val="32"/>
          <w:szCs w:val="28"/>
          <w:lang w:val="en-US" w:eastAsia="zh-CN" w:bidi="ar-SA"/>
        </w:rPr>
        <w:t/>
      </w:r>
      <w:r>
        <w:rPr>
          <w:rFonts w:hint="eastAsia" w:ascii="Times New Roman" w:hAnsi="微软雅黑" w:eastAsia="微软雅黑" w:cs="微软雅黑"/>
          <w:b/>
          <w:bCs/>
          <w:color w:val="auto"/>
          <w:kern w:val="2"/>
          <w:sz w:val="32"/>
          <w:szCs w:val="28"/>
          <w:lang w:val="en-US" w:eastAsia="zh-CN" w:bidi="ar-SA"/>
        </w:rPr>
        <w:t/>
      </w:r>
    </w:p>
    <w:p w14:paraId="7901042F">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Dirección: Unidad 2, Edificio 38, Lian Dong U Valley, intersección de la calle Jianyang y la calle Lianhua, Zona de Alta Tecnología, ciudad de Zhengzhou, provincia de Henan</w:t>
      </w:r>
    </w:p>
    <w:p w14:paraId="2CC633DF">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Línea directa: 400-811-8873</w:t>
      </w:r>
    </w:p>
    <w:p w14:paraId="22DC37DA">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Sitio web: http://www.otywell.com</w:t>
      </w:r>
    </w:p>
    <w:p w14:paraId="083EC98B">
      <w:pPr>
        <w:ind w:firstLine="0" w:firstLineChars="0"/>
        <w:rPr>
          <w:sz w:val="30"/>
          <w:szCs w:val="30"/>
        </w:rPr>
      </w:pPr>
    </w:p>
    <w:p w14:paraId="2F915E07">
      <w:pPr>
        <w:ind w:firstLine="0" w:firstLineChars="0"/>
        <w:rPr>
          <w:rFonts w:hint="eastAsia"/>
          <w:sz w:val="30"/>
          <w:szCs w:val="30"/>
        </w:rPr>
      </w:pPr>
      <w:r>
        <w:drawing>
          <wp:anchor distT="0" distB="0" distL="114300" distR="114300" simplePos="0" relativeHeight="251668480" behindDoc="1" locked="0" layoutInCell="1" allowOverlap="1">
            <wp:simplePos x="0" y="0"/>
            <wp:positionH relativeFrom="column">
              <wp:posOffset>1807845</wp:posOffset>
            </wp:positionH>
            <wp:positionV relativeFrom="paragraph">
              <wp:posOffset>403860</wp:posOffset>
            </wp:positionV>
            <wp:extent cx="888365" cy="888365"/>
            <wp:effectExtent l="0" t="0" r="64135" b="64135"/>
            <wp:wrapThrough wrapText="bothSides">
              <wp:wrapPolygon>
                <wp:start x="0" y="0"/>
                <wp:lineTo x="0" y="21307"/>
                <wp:lineTo x="21307" y="21307"/>
                <wp:lineTo x="21307" y="0"/>
                <wp:lineTo x="0" y="0"/>
              </wp:wrapPolygon>
            </wp:wrapThrough>
            <wp:docPr id="119" name="图片 119"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下载"/>
                    <pic:cNvPicPr>
                      <a:picLocks noChangeAspect="1"/>
                    </pic:cNvPicPr>
                  </pic:nvPicPr>
                  <pic:blipFill>
                    <a:blip r:embed="rId57"/>
                    <a:stretch>
                      <a:fillRect/>
                    </a:stretch>
                  </pic:blipFill>
                  <pic:spPr>
                    <a:xfrm>
                      <a:off x="0" y="0"/>
                      <a:ext cx="888365" cy="888365"/>
                    </a:xfrm>
                    <a:prstGeom prst="rect">
                      <a:avLst/>
                    </a:prstGeom>
                  </pic:spPr>
                </pic:pic>
              </a:graphicData>
            </a:graphic>
          </wp:anchor>
        </w:drawing>
      </w:r>
      <w:r>
        <w:rPr>
          <w:rFonts w:hint="eastAsia" w:ascii="微软雅黑" w:hAnsi="微软雅黑" w:eastAsia="微软雅黑" w:cs="微软雅黑"/>
          <w:b w:val="0"/>
          <w:bCs w:val="0"/>
          <w:color w:val="auto"/>
          <w:lang w:eastAsia="zh-CN"/>
        </w:rPr>
        <w:drawing>
          <wp:anchor distT="0" distB="0" distL="114300" distR="114300" simplePos="0" relativeHeight="251667456" behindDoc="1" locked="0" layoutInCell="1" allowOverlap="1">
            <wp:simplePos x="0" y="0"/>
            <wp:positionH relativeFrom="column">
              <wp:posOffset>265430</wp:posOffset>
            </wp:positionH>
            <wp:positionV relativeFrom="paragraph">
              <wp:posOffset>394970</wp:posOffset>
            </wp:positionV>
            <wp:extent cx="908050" cy="908050"/>
            <wp:effectExtent l="0" t="0" r="63500" b="63500"/>
            <wp:wrapThrough wrapText="bothSides">
              <wp:wrapPolygon>
                <wp:start x="0" y="0"/>
                <wp:lineTo x="0" y="21298"/>
                <wp:lineTo x="21298" y="21298"/>
                <wp:lineTo x="21298" y="0"/>
                <wp:lineTo x="0" y="0"/>
              </wp:wrapPolygon>
            </wp:wrapThrough>
            <wp:docPr id="117" name="图片 117" descr="欧泰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欧泰公众号"/>
                    <pic:cNvPicPr>
                      <a:picLocks noChangeAspect="1"/>
                    </pic:cNvPicPr>
                  </pic:nvPicPr>
                  <pic:blipFill>
                    <a:blip r:embed="rId58"/>
                    <a:stretch>
                      <a:fillRect/>
                    </a:stretch>
                  </pic:blipFill>
                  <pic:spPr>
                    <a:xfrm>
                      <a:off x="0" y="0"/>
                      <a:ext cx="908050" cy="908050"/>
                    </a:xfrm>
                    <a:prstGeom prst="rect">
                      <a:avLst/>
                    </a:prstGeom>
                  </pic:spPr>
                </pic:pic>
              </a:graphicData>
            </a:graphic>
          </wp:anchor>
        </w:drawing>
      </w:r>
    </w:p>
    <w:p w14:paraId="17CC65C0">
      <w:pPr>
        <w:ind w:firstLine="0" w:firstLineChars="0"/>
        <w:rPr>
          <w:sz w:val="30"/>
          <w:szCs w:val="30"/>
        </w:rPr>
      </w:pPr>
      <w:r>
        <w:drawing>
          <wp:anchor distT="0" distB="0" distL="114300" distR="114300" simplePos="0" relativeHeight="251669504" behindDoc="1" locked="0" layoutInCell="1" allowOverlap="1">
            <wp:simplePos x="0" y="0"/>
            <wp:positionH relativeFrom="column">
              <wp:posOffset>3301365</wp:posOffset>
            </wp:positionH>
            <wp:positionV relativeFrom="paragraph">
              <wp:posOffset>1270</wp:posOffset>
            </wp:positionV>
            <wp:extent cx="906780" cy="906780"/>
            <wp:effectExtent l="0" t="0" r="0" b="0"/>
            <wp:wrapThrough wrapText="bothSides">
              <wp:wrapPolygon>
                <wp:start x="0" y="0"/>
                <wp:lineTo x="0" y="21328"/>
                <wp:lineTo x="21328" y="21328"/>
                <wp:lineTo x="21328" y="0"/>
                <wp:lineTo x="0" y="0"/>
              </wp:wrapPolygon>
            </wp:wrapThrough>
            <wp:docPr id="118" name="图片 118" descr="erweima.d4399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erweima.d43995e0"/>
                    <pic:cNvPicPr>
                      <a:picLocks noChangeAspect="1"/>
                    </pic:cNvPicPr>
                  </pic:nvPicPr>
                  <pic:blipFill>
                    <a:blip r:embed="rId59"/>
                    <a:stretch>
                      <a:fillRect/>
                    </a:stretch>
                  </pic:blipFill>
                  <pic:spPr>
                    <a:xfrm>
                      <a:off x="0" y="0"/>
                      <a:ext cx="906780" cy="906780"/>
                    </a:xfrm>
                    <a:prstGeom prst="rect">
                      <a:avLst/>
                    </a:prstGeom>
                  </pic:spPr>
                </pic:pic>
              </a:graphicData>
            </a:graphic>
          </wp:anchor>
        </w:drawing>
      </w:r>
    </w:p>
    <w:p w14:paraId="1FC6A111">
      <w:pPr>
        <w:ind w:firstLine="600"/>
        <w:rPr>
          <w:rFonts w:hint="eastAsia"/>
          <w:sz w:val="30"/>
          <w:szCs w:val="30"/>
        </w:rPr>
      </w:pPr>
    </w:p>
    <w:p w14:paraId="33FD0EF1">
      <w:pPr>
        <w:ind w:firstLine="600"/>
        <w:rPr>
          <w:rFonts w:hint="eastAsia"/>
          <w:sz w:val="30"/>
          <w:szCs w:val="30"/>
        </w:rPr>
      </w:pPr>
      <w:r>
        <w:rPr>
          <w:sz w:val="24"/>
        </w:rPr>
        <mc:AlternateContent>
          <mc:Choice Requires="wps">
            <w:drawing>
              <wp:anchor distT="0" distB="0" distL="114300" distR="114300" simplePos="0" relativeHeight="251672576" behindDoc="0" locked="0" layoutInCell="1" allowOverlap="1">
                <wp:simplePos x="0" y="0"/>
                <wp:positionH relativeFrom="column">
                  <wp:posOffset>2934970</wp:posOffset>
                </wp:positionH>
                <wp:positionV relativeFrom="paragraph">
                  <wp:posOffset>154940</wp:posOffset>
                </wp:positionV>
                <wp:extent cx="1619885" cy="454660"/>
                <wp:effectExtent l="0" t="0" r="0" b="0"/>
                <wp:wrapNone/>
                <wp:docPr id="128" name="文本框 120"/>
                <wp:cNvGraphicFramePr/>
                <a:graphic xmlns:a="http://schemas.openxmlformats.org/drawingml/2006/main">
                  <a:graphicData uri="http://schemas.microsoft.com/office/word/2010/wordprocessingShape">
                    <wps:wsp>
                      <wps:cNvSpPr txBox="1"/>
                      <wps:spPr>
                        <a:xfrm>
                          <a:off x="0" y="0"/>
                          <a:ext cx="1661160" cy="462280"/>
                        </a:xfrm>
                        <a:prstGeom prst="rect">
                          <a:avLst/>
                        </a:prstGeom>
                        <a:noFill/>
                        <a:ln w="6350">
                          <a:noFill/>
                        </a:ln>
                        <a:effectLst/>
                      </wps:spPr>
                      <wps:txbx>
                        <w:txbxContent>
                          <w:p w14:paraId="7788D658">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Mini programa de WeChat Zhihui Cloud</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0" o:spid="_x0000_s1026" o:spt="202" type="#_x0000_t202" style="position:absolute;left:0pt;margin-left:231.1pt;margin-top:12.2pt;height:35.8pt;width:127.55pt;z-index:251672576;v-text-anchor:middle;mso-width-relative:page;mso-height-relative:page;" filled="f" stroked="f" coordsize="21600,21600" o:gfxdata="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pyDrI2gAAAAkBAAAPAAAAAAAAAAEAIAAAACIAAABkcnMv&#10;ZG93bnJldi54bWxQSwECFAAUAAAACACHTuJAuuBWejoCAABqBAAADgAAAAAAAAABACAAAAApAQAA&#10;ZHJzL2Uyb0RvYy54bWxQSwUGAAAAAAYABgBZAQAA1QUAAAAA&#10;">
                <v:fill on="f" focussize="0,0"/>
                <v:stroke on="f" weight="0.5pt"/>
                <v:imagedata o:title=""/>
                <o:lock v:ext="edit" aspectratio="f"/>
                <v:textbox inset="0mm,0mm,0mm,0mm">
                  <w:txbxContent>
                    <w:p w14:paraId="7788D658">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Mini programa de WeChat Zhihui Cloud</w:t>
                      </w:r>
                    </w:p>
                  </w:txbxContent>
                </v:textbox>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1422400</wp:posOffset>
                </wp:positionH>
                <wp:positionV relativeFrom="paragraph">
                  <wp:posOffset>151130</wp:posOffset>
                </wp:positionV>
                <wp:extent cx="1619885" cy="454660"/>
                <wp:effectExtent l="0" t="0" r="0" b="0"/>
                <wp:wrapNone/>
                <wp:docPr id="127" name="文本框 121"/>
                <wp:cNvGraphicFramePr/>
                <a:graphic xmlns:a="http://schemas.openxmlformats.org/drawingml/2006/main">
                  <a:graphicData uri="http://schemas.microsoft.com/office/word/2010/wordprocessingShape">
                    <wps:wsp>
                      <wps:cNvSpPr txBox="1"/>
                      <wps:spPr>
                        <a:xfrm>
                          <a:off x="0" y="0"/>
                          <a:ext cx="1661160" cy="462280"/>
                        </a:xfrm>
                        <a:prstGeom prst="rect">
                          <a:avLst/>
                        </a:prstGeom>
                        <a:noFill/>
                        <a:ln w="6350">
                          <a:noFill/>
                        </a:ln>
                        <a:effectLst/>
                      </wps:spPr>
                      <wps:txbx>
                        <w:txbxContent>
                          <w:p w14:paraId="640613F2">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Paquete de instalación de la APP Zhihui Cloud</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1" o:spid="_x0000_s1026" o:spt="202" type="#_x0000_t202" style="position:absolute;left:0pt;margin-left:112pt;margin-top:11.9pt;height:35.8pt;width:127.55pt;z-index:251671552;v-text-anchor:middle;mso-width-relative:page;mso-height-relative:page;" filled="f" stroked="f" coordsize="21600,21600" o:gfxdata="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71BFHaAAAACQEAAA8AAAAAAAAAAQAgAAAAIgAAAGRy&#10;cy9kb3ducmV2LnhtbFBLAQIUABQAAAAIAIdO4kDHfx4CPAIAAGoEAAAOAAAAAAAAAAEAIAAAACkB&#10;AABkcnMvZTJvRG9jLnhtbFBLBQYAAAAABgAGAFkBAADXBQAAAAA=&#10;">
                <v:fill on="f" focussize="0,0"/>
                <v:stroke on="f" weight="0.5pt"/>
                <v:imagedata o:title=""/>
                <o:lock v:ext="edit" aspectratio="f"/>
                <v:textbox inset="0mm,0mm,0mm,0mm">
                  <w:txbxContent>
                    <w:p w14:paraId="640613F2">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Paquete de instalación de la APP Zhihui Cloud</w:t>
                      </w:r>
                    </w:p>
                  </w:txbxContent>
                </v:textbox>
              </v:shape>
            </w:pict>
          </mc:Fallback>
        </mc:AlternateContent>
      </w:r>
      <w:r>
        <w:rPr>
          <w:sz w:val="24"/>
        </w:rPr>
        <mc:AlternateContent>
          <mc:Choice Requires="wps">
            <w:drawing>
              <wp:anchor distT="0" distB="0" distL="114300" distR="114300" simplePos="0" relativeHeight="251670528" behindDoc="0" locked="0" layoutInCell="1" allowOverlap="1">
                <wp:simplePos x="0" y="0"/>
                <wp:positionH relativeFrom="column">
                  <wp:posOffset>60960</wp:posOffset>
                </wp:positionH>
                <wp:positionV relativeFrom="paragraph">
                  <wp:posOffset>142875</wp:posOffset>
                </wp:positionV>
                <wp:extent cx="1223010" cy="454660"/>
                <wp:effectExtent l="0" t="0" r="0" b="0"/>
                <wp:wrapNone/>
                <wp:docPr id="126" name="文本框 122"/>
                <wp:cNvGraphicFramePr/>
                <a:graphic xmlns:a="http://schemas.openxmlformats.org/drawingml/2006/main">
                  <a:graphicData uri="http://schemas.microsoft.com/office/word/2010/wordprocessingShape">
                    <wps:wsp>
                      <wps:cNvSpPr txBox="1"/>
                      <wps:spPr>
                        <a:xfrm>
                          <a:off x="1011555" y="8519160"/>
                          <a:ext cx="1253490" cy="462280"/>
                        </a:xfrm>
                        <a:prstGeom prst="rect">
                          <a:avLst/>
                        </a:prstGeom>
                        <a:noFill/>
                        <a:ln w="6350">
                          <a:noFill/>
                        </a:ln>
                        <a:effectLst/>
                      </wps:spPr>
                      <wps:txbx>
                        <w:txbxContent>
                          <w:p w14:paraId="6889C06A">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Cuenta oficial de WeChat</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2" o:spid="_x0000_s1026" o:spt="202" type="#_x0000_t202" style="position:absolute;left:0pt;margin-left:4.8pt;margin-top:11.25pt;height:35.8pt;width:96.3pt;z-index:251670528;v-text-anchor:middle;mso-width-relative:page;mso-height-relative:page;" filled="f" stroked="f" coordsize="21600,21600" o:gfxdata="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19nnfWAAAABwEAAA8AAAAAAAAAAQAg&#10;AAAAIgAAAGRycy9kb3ducmV2LnhtbFBLAQIUABQAAAAIAIdO4kAoW4XhSQIAAHYEAAAOAAAAAAAA&#10;AAEAIAAAACUBAABkcnMvZTJvRG9jLnhtbFBLBQYAAAAABgAGAFkBAADgBQAAAAA=&#10;">
                <v:fill on="f" focussize="0,0"/>
                <v:stroke on="f" weight="0.5pt"/>
                <v:imagedata o:title=""/>
                <o:lock v:ext="edit" aspectratio="f"/>
                <v:textbox inset="0mm,0mm,0mm,0mm">
                  <w:txbxContent>
                    <w:p w14:paraId="6889C06A">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Cuenta oficial de WeChat</w:t>
                      </w:r>
                    </w:p>
                  </w:txbxContent>
                </v:textbox>
              </v:shape>
            </w:pict>
          </mc:Fallback>
        </mc:AlternateContent>
      </w:r>
    </w:p>
    <w:p w14:paraId="0E030D34">
      <w:pPr>
        <w:ind w:firstLine="0" w:firstLineChars="0"/>
        <w:textAlignment w:val="center"/>
        <w:rPr>
          <w:rFonts w:hint="eastAsia"/>
        </w:rPr>
      </w:pPr>
    </w:p>
    <w:p w14:paraId="70B200B6"/>
    <w:p w14:paraId="5FC81C0C">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lang w:eastAsia="zh-CN"/>
        </w:rPr>
      </w:pPr>
    </w:p>
    <w:p w14:paraId="4BAC3C76">
      <w:pPr>
        <w:pageBreakBefore w:val="0"/>
        <w:kinsoku/>
        <w:wordWrap/>
        <w:overflowPunct/>
        <w:topLinePunct w:val="0"/>
        <w:bidi w:val="0"/>
        <w:textAlignment w:val="center"/>
        <w:outlineLvl w:val="9"/>
        <w:rPr>
          <w:sz w:val="20"/>
          <w:szCs w:val="20"/>
        </w:rPr>
      </w:pPr>
    </w:p>
    <w:sectPr>
      <w:headerReference r:id="rId7" w:type="first"/>
      <w:footerReference r:id="rId9" w:type="first"/>
      <w:footerReference r:id="rId8" w:type="default"/>
      <w:pgSz w:w="8419" w:h="11906" w:orient="landscape"/>
      <w:pgMar w:top="737" w:right="850" w:bottom="737" w:left="850" w:header="510" w:footer="510" w:gutter="0"/>
      <w:pgNumType w:start="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82016" w:usb3="00000000" w:csb0="00040001" w:csb1="00000000"/>
  </w:font>
  <w:font w:name="Times New Roman Bold">
    <w:panose1 w:val="02020503050405090304"/>
    <w:charset w:val="00"/>
    <w:family w:val="auto"/>
    <w:pitch w:val="default"/>
    <w:sig w:usb0="00000000" w:usb1="00000000" w:usb2="00000001" w:usb3="00000000" w:csb0="400001BF" w:csb1="DFF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B4B7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9123C5">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W/Ps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NmjhuceSX798uP35dfn4l&#10;yyxQH6DGvIeAmWm48wMmz35AZ+Y9qGjzFxkRjCPU+SqvHBIR+dF6tV5XGBIYmy+Izx6fhwjprfSW&#10;ZKOhEedXZOWn95DG1DklV3P+XhtTZmjcXw7EzB6Wex97zFYa9sNEaO/bM/LpcfQNdbjplJh3DpXF&#10;/tJsxNnYz8YxRH3oyhrlehBujwmbKL3lCiPsVBhnVthN+5WX4s97yXr8p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KRb8+yQEAAJsDAAAOAAAAAAAAAAEAIAAAAB4BAABkcnMvZTJvRG9j&#10;LnhtbFBLBQYAAAAABgAGAFkBAABZBQAAAAA=&#10;">
              <v:fill on="f" focussize="0,0"/>
              <v:stroke on="f"/>
              <v:imagedata o:title=""/>
              <o:lock v:ext="edit" aspectratio="f"/>
              <v:textbox inset="0mm,0mm,0mm,0mm" style="mso-fit-shape-to-text:t;">
                <w:txbxContent>
                  <w:p w14:paraId="599123C5">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CA393">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F8900">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KmuP8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9pMRxiyO/fP92+fHr8vMr&#10;WWW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4qa4/yQEAAJsDAAAOAAAAAAAAAAEAIAAAAB4BAABkcnMvZTJvRG9j&#10;LnhtbFBLBQYAAAAABgAGAFkBAABZBQAAAAA=&#10;">
              <v:fill on="f" focussize="0,0"/>
              <v:stroke on="f"/>
              <v:imagedata o:title=""/>
              <o:lock v:ext="edit" aspectratio="f"/>
              <v:textbox inset="0mm,0mm,0mm,0mm" style="mso-fit-shape-to-text:t;">
                <w:txbxContent>
                  <w:p w14:paraId="1F6F8900">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8F246">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8838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60FE2">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5740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FB1D">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E2F03"/>
    <w:multiLevelType w:val="singleLevel"/>
    <w:tmpl w:val="DDBE2F03"/>
    <w:lvl w:ilvl="0" w:tentative="0">
      <w:start w:val="5"/>
      <w:numFmt w:val="decimal"/>
      <w:suff w:val="space"/>
      <w:lvlText w:val="(%1)"/>
      <w:lvlJc w:val="left"/>
    </w:lvl>
  </w:abstractNum>
  <w:abstractNum w:abstractNumId="1">
    <w:nsid w:val="DFDBC8CC"/>
    <w:multiLevelType w:val="singleLevel"/>
    <w:tmpl w:val="DFDBC8CC"/>
    <w:lvl w:ilvl="0" w:tentative="0">
      <w:start w:val="2"/>
      <w:numFmt w:val="decimal"/>
      <w:suff w:val="space"/>
      <w:lvlText w:val="%1."/>
      <w:lvlJc w:val="left"/>
      <w:pPr>
        <w:ind w:left="210"/>
      </w:pPr>
    </w:lvl>
  </w:abstractNum>
  <w:abstractNum w:abstractNumId="2">
    <w:nsid w:val="FE3E981A"/>
    <w:multiLevelType w:val="singleLevel"/>
    <w:tmpl w:val="FE3E981A"/>
    <w:lvl w:ilvl="0" w:tentative="0">
      <w:start w:val="1"/>
      <w:numFmt w:val="bullet"/>
      <w:lvlText w:val=""/>
      <w:lvlJc w:val="left"/>
      <w:pPr>
        <w:ind w:left="420" w:hanging="420"/>
      </w:pPr>
      <w:rPr>
        <w:rFonts w:hint="default" w:ascii="Wingdings" w:hAnsi="Wingdings"/>
      </w:rPr>
    </w:lvl>
  </w:abstractNum>
  <w:abstractNum w:abstractNumId="3">
    <w:nsid w:val="FFFF42A4"/>
    <w:multiLevelType w:val="multilevel"/>
    <w:tmpl w:val="FFFF42A4"/>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43D21B1"/>
    <w:multiLevelType w:val="multilevel"/>
    <w:tmpl w:val="143D21B1"/>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readOnly" w:enforcement="0"/>
  <w:defaultTabStop w:val="420"/>
  <w:bookFoldPrinting w:val="1"/>
  <w:bookFoldPrintingSheets w:val="0"/>
  <w:drawingGridHorizontalSpacing w:val="105"/>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jOTAxZDQ1NzQyN2Q2NzI0ZmM2YjRkYjU0NmU0YWUifQ=="/>
  </w:docVars>
  <w:rsids>
    <w:rsidRoot w:val="00607A8A"/>
    <w:rsid w:val="00052727"/>
    <w:rsid w:val="0005744B"/>
    <w:rsid w:val="00064FE1"/>
    <w:rsid w:val="000A44B2"/>
    <w:rsid w:val="000E57AB"/>
    <w:rsid w:val="00110793"/>
    <w:rsid w:val="00112B24"/>
    <w:rsid w:val="00141A9B"/>
    <w:rsid w:val="00172DEA"/>
    <w:rsid w:val="00175984"/>
    <w:rsid w:val="00193CFB"/>
    <w:rsid w:val="001F7EFA"/>
    <w:rsid w:val="0023298D"/>
    <w:rsid w:val="0025036D"/>
    <w:rsid w:val="00251E34"/>
    <w:rsid w:val="00296070"/>
    <w:rsid w:val="002A347C"/>
    <w:rsid w:val="00300B1C"/>
    <w:rsid w:val="00322915"/>
    <w:rsid w:val="0037160B"/>
    <w:rsid w:val="003C5C01"/>
    <w:rsid w:val="003F637A"/>
    <w:rsid w:val="00402433"/>
    <w:rsid w:val="00403E68"/>
    <w:rsid w:val="00406105"/>
    <w:rsid w:val="0042456C"/>
    <w:rsid w:val="004359D3"/>
    <w:rsid w:val="00446C57"/>
    <w:rsid w:val="00493940"/>
    <w:rsid w:val="004A1433"/>
    <w:rsid w:val="004A2DB2"/>
    <w:rsid w:val="004A5EB2"/>
    <w:rsid w:val="004D62F9"/>
    <w:rsid w:val="004E69C5"/>
    <w:rsid w:val="00533A96"/>
    <w:rsid w:val="005349F2"/>
    <w:rsid w:val="00543BF8"/>
    <w:rsid w:val="0055748C"/>
    <w:rsid w:val="005639F1"/>
    <w:rsid w:val="005828D4"/>
    <w:rsid w:val="00592F75"/>
    <w:rsid w:val="005B0C2A"/>
    <w:rsid w:val="00601E4C"/>
    <w:rsid w:val="00607A8A"/>
    <w:rsid w:val="00625605"/>
    <w:rsid w:val="00652D47"/>
    <w:rsid w:val="006B5991"/>
    <w:rsid w:val="006C12C0"/>
    <w:rsid w:val="006E4EF2"/>
    <w:rsid w:val="00711550"/>
    <w:rsid w:val="0071641A"/>
    <w:rsid w:val="007471E2"/>
    <w:rsid w:val="00752B27"/>
    <w:rsid w:val="00773651"/>
    <w:rsid w:val="00804BAB"/>
    <w:rsid w:val="00840DC0"/>
    <w:rsid w:val="008562AC"/>
    <w:rsid w:val="00867367"/>
    <w:rsid w:val="00880EAC"/>
    <w:rsid w:val="00897023"/>
    <w:rsid w:val="008A5207"/>
    <w:rsid w:val="008B7639"/>
    <w:rsid w:val="008F38FF"/>
    <w:rsid w:val="00916368"/>
    <w:rsid w:val="009229E9"/>
    <w:rsid w:val="00951331"/>
    <w:rsid w:val="00993230"/>
    <w:rsid w:val="009C0F23"/>
    <w:rsid w:val="009D4AA2"/>
    <w:rsid w:val="00A12506"/>
    <w:rsid w:val="00A139E1"/>
    <w:rsid w:val="00A1748E"/>
    <w:rsid w:val="00A54609"/>
    <w:rsid w:val="00AB1CB0"/>
    <w:rsid w:val="00AB2A97"/>
    <w:rsid w:val="00AB3873"/>
    <w:rsid w:val="00B711AD"/>
    <w:rsid w:val="00BA0425"/>
    <w:rsid w:val="00BA5C67"/>
    <w:rsid w:val="00C70075"/>
    <w:rsid w:val="00C80C71"/>
    <w:rsid w:val="00C93E24"/>
    <w:rsid w:val="00CB042B"/>
    <w:rsid w:val="00CF04C1"/>
    <w:rsid w:val="00D37209"/>
    <w:rsid w:val="00D56D86"/>
    <w:rsid w:val="00D56F94"/>
    <w:rsid w:val="00D879C6"/>
    <w:rsid w:val="00D941A0"/>
    <w:rsid w:val="00DC6195"/>
    <w:rsid w:val="00DE7884"/>
    <w:rsid w:val="00E159F4"/>
    <w:rsid w:val="00E74AC4"/>
    <w:rsid w:val="00EB04F3"/>
    <w:rsid w:val="00EB649C"/>
    <w:rsid w:val="00F01319"/>
    <w:rsid w:val="00F3303E"/>
    <w:rsid w:val="00F80C1B"/>
    <w:rsid w:val="00F91807"/>
    <w:rsid w:val="00FA6821"/>
    <w:rsid w:val="00FB6AA7"/>
    <w:rsid w:val="00FC169F"/>
    <w:rsid w:val="019B77CB"/>
    <w:rsid w:val="0BF67E31"/>
    <w:rsid w:val="0C962A88"/>
    <w:rsid w:val="0EB37656"/>
    <w:rsid w:val="0FD6416A"/>
    <w:rsid w:val="12B37A92"/>
    <w:rsid w:val="1C10682C"/>
    <w:rsid w:val="1C1B5646"/>
    <w:rsid w:val="1FD40B49"/>
    <w:rsid w:val="1FFF1E9E"/>
    <w:rsid w:val="2A450DBA"/>
    <w:rsid w:val="2A930A9D"/>
    <w:rsid w:val="315670E6"/>
    <w:rsid w:val="340F3735"/>
    <w:rsid w:val="35134A6D"/>
    <w:rsid w:val="356B2D42"/>
    <w:rsid w:val="374D72D0"/>
    <w:rsid w:val="3ED2211A"/>
    <w:rsid w:val="491B16E9"/>
    <w:rsid w:val="4B305B38"/>
    <w:rsid w:val="4EDB63EB"/>
    <w:rsid w:val="4FD47A8A"/>
    <w:rsid w:val="5E68458C"/>
    <w:rsid w:val="6FA43756"/>
    <w:rsid w:val="710B61ED"/>
    <w:rsid w:val="721C2C03"/>
    <w:rsid w:val="77227DF7"/>
    <w:rsid w:val="7DD797DA"/>
    <w:rsid w:val="7E7676DA"/>
    <w:rsid w:val="ADF71609"/>
    <w:rsid w:val="EFF0199C"/>
    <w:rsid w:val="FDB254DA"/>
    <w:rsid w:val="FFFDA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8"/>
    <w:qFormat/>
    <w:uiPriority w:val="0"/>
    <w:rPr>
      <w:sz w:val="18"/>
      <w:szCs w:val="18"/>
    </w:rPr>
  </w:style>
  <w:style w:type="paragraph" w:styleId="4">
    <w:name w:val="footer"/>
    <w:basedOn w:val="1"/>
    <w:link w:val="17"/>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style>
  <w:style w:type="paragraph" w:styleId="7">
    <w:name w:val="Title"/>
    <w:basedOn w:val="1"/>
    <w:qFormat/>
    <w:uiPriority w:val="0"/>
    <w:pPr>
      <w:jc w:val="center"/>
    </w:pPr>
    <w:rPr>
      <w:sz w:val="32"/>
      <w:szCs w:val="2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qFormat/>
    <w:uiPriority w:val="0"/>
    <w:rPr>
      <w:color w:val="0000FF"/>
      <w:u w:val="single"/>
    </w:rPr>
  </w:style>
  <w:style w:type="paragraph" w:customStyle="1" w:styleId="14">
    <w:name w:val="样式 标题 2 + 黑体 小四 非加粗 行距: 多倍行距 1.73 字行"/>
    <w:basedOn w:val="2"/>
    <w:qFormat/>
    <w:uiPriority w:val="0"/>
    <w:pPr>
      <w:spacing w:before="120" w:after="120" w:line="240" w:lineRule="auto"/>
    </w:pPr>
    <w:rPr>
      <w:rFonts w:ascii="黑体"/>
      <w:b w:val="0"/>
      <w:bCs w:val="0"/>
      <w:sz w:val="24"/>
      <w:szCs w:val="24"/>
    </w:rPr>
  </w:style>
  <w:style w:type="paragraph" w:customStyle="1" w:styleId="1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
    <w:name w:val="样式 样式 标题 1 + 宋体 小四 + 黑体 非加粗 段前: 0 磅 段后: 0 磅"/>
    <w:basedOn w:val="1"/>
    <w:qFormat/>
    <w:uiPriority w:val="0"/>
    <w:pPr>
      <w:keepNext/>
      <w:keepLines/>
      <w:spacing w:before="120" w:after="120"/>
      <w:outlineLvl w:val="0"/>
    </w:pPr>
    <w:rPr>
      <w:rFonts w:ascii="黑体" w:eastAsia="黑体"/>
      <w:kern w:val="0"/>
      <w:sz w:val="24"/>
    </w:rPr>
  </w:style>
  <w:style w:type="character" w:customStyle="1" w:styleId="17">
    <w:name w:val="页脚 Char"/>
    <w:basedOn w:val="10"/>
    <w:link w:val="4"/>
    <w:qFormat/>
    <w:uiPriority w:val="99"/>
    <w:rPr>
      <w:kern w:val="2"/>
      <w:sz w:val="18"/>
      <w:szCs w:val="18"/>
    </w:rPr>
  </w:style>
  <w:style w:type="character" w:customStyle="1" w:styleId="18">
    <w:name w:val="批注框文本 Char"/>
    <w:basedOn w:val="10"/>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2.xml"/><Relationship Id="rId59" Type="http://schemas.openxmlformats.org/officeDocument/2006/relationships/image" Target="media/image48.jpeg"/><Relationship Id="rId58" Type="http://schemas.openxmlformats.org/officeDocument/2006/relationships/image" Target="media/image47.jpe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oleObject" Target="embeddings/oleObject1.bin"/><Relationship Id="rId54" Type="http://schemas.openxmlformats.org/officeDocument/2006/relationships/image" Target="media/image44.jpeg"/><Relationship Id="rId53" Type="http://schemas.openxmlformats.org/officeDocument/2006/relationships/image" Target="media/image43.jpeg"/><Relationship Id="rId52" Type="http://schemas.openxmlformats.org/officeDocument/2006/relationships/image" Target="media/image42.jpeg"/><Relationship Id="rId51" Type="http://schemas.openxmlformats.org/officeDocument/2006/relationships/image" Target="media/image41.jpeg"/><Relationship Id="rId50" Type="http://schemas.openxmlformats.org/officeDocument/2006/relationships/image" Target="media/image40.png"/><Relationship Id="rId5" Type="http://schemas.openxmlformats.org/officeDocument/2006/relationships/footer" Target="footer1.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emf"/><Relationship Id="rId16" Type="http://schemas.openxmlformats.org/officeDocument/2006/relationships/image" Target="media/image6.jpeg"/><Relationship Id="rId15" Type="http://schemas.openxmlformats.org/officeDocument/2006/relationships/image" Target="media/image5.emf"/><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2190</Words>
  <Characters>11947</Characters>
  <Lines>40</Lines>
  <Paragraphs>11</Paragraphs>
  <TotalTime>3</TotalTime>
  <ScaleCrop>false</ScaleCrop>
  <LinksUpToDate>false</LinksUpToDate>
  <CharactersWithSpaces>13940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2024-05-12T08:28:00Z</dcterms:created>
  <dc:creator>lenovo</dc:creator>
  <cp:lastModifiedBy>小牛同学</cp:lastModifiedBy>
  <cp:lastPrinted>2019-12-29T09:04:00Z</cp:lastPrinted>
  <dcterms:modified xsi:type="dcterms:W3CDTF">2026-09-15T06:29:41Z</dcterms:modified>
  <dc:title>KP826</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C73002FE41EF454DA645403CD4D01E9A_13</vt:lpwstr>
  </property>
  <property fmtid="{D5CDD505-2E9C-101B-9397-08002B2CF9AE}" pid="4" name="KSOTemplateDocerSaveRecord">
    <vt:lpwstr>eyJoZGlkIjoiYzQwNjI3MjgyMGVhYWRiMDMwOWY2YmY3N2VhYzlhMjgiLCJ1c2VySWQiOiIxNTQ4OTQ1OTE5In0=</vt:lpwstr>
  </property>
</Properties>
</file>