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23E0E">
      <w:pPr>
        <w:rPr>
          <w:rFonts w:hint="eastAsia" w:ascii="宋体" w:hAnsi="宋体" w:cs="仿宋"/>
        </w:rPr>
      </w:pPr>
      <w:bookmarkStart w:id="68" w:name="_GoBack"/>
      <w:bookmarkEnd w:id="68"/>
    </w:p>
    <w:p w14:paraId="3FF18B17">
      <w:pPr>
        <w:rPr>
          <w:rFonts w:hint="eastAsia" w:ascii="宋体" w:hAnsi="宋体" w:cs="黑体"/>
        </w:rPr>
      </w:pPr>
    </w:p>
    <w:p w14:paraId="233F3AB1">
      <w:pPr>
        <w:rPr>
          <w:rFonts w:hint="eastAsia" w:ascii="宋体" w:hAnsi="宋体" w:cs="黑体"/>
        </w:rPr>
      </w:pPr>
    </w:p>
    <w:p w14:paraId="4A4A26E5">
      <w:pPr>
        <w:rPr>
          <w:rFonts w:hint="eastAsia" w:ascii="宋体" w:hAnsi="宋体" w:cs="黑体"/>
        </w:rPr>
      </w:pPr>
    </w:p>
    <w:p w14:paraId="5DE345FC">
      <w:pPr>
        <w:rPr>
          <w:rFonts w:hint="eastAsia" w:ascii="宋体" w:hAnsi="宋体" w:cs="黑体"/>
        </w:rPr>
      </w:pPr>
    </w:p>
    <w:p w14:paraId="4758D617">
      <w:pPr>
        <w:jc w:val="center"/>
        <w:rPr>
          <w:rFonts w:hint="default" w:ascii="宋体" w:hAnsi="宋体" w:cs="黑体"/>
          <w:sz w:val="44"/>
          <w:szCs w:val="44"/>
          <w:lang w:val="en-US"/>
        </w:rPr>
      </w:pPr>
      <w:r>
        <w:rPr>
          <w:rFonts w:hint="default" w:ascii="Times New Roman" w:hAnsi="宋体" w:eastAsia="宋体" w:cs="黑体"/>
          <w:kern w:val="2"/>
          <w:sz w:val="44"/>
          <w:szCs w:val="44"/>
          <w:lang w:val="en-US" w:eastAsia="zh-CN" w:bidi="ar-SA"/>
        </w:rPr>
        <w:t>Open-circuit Laser Gas Telemetry Instrument</w:t>
      </w:r>
    </w:p>
    <w:p w14:paraId="41C0EF22">
      <w:pPr>
        <w:jc w:val="center"/>
        <w:rPr>
          <w:rFonts w:hint="eastAsia" w:ascii="宋体" w:hAnsi="宋体" w:cs="黑体"/>
          <w:sz w:val="44"/>
          <w:szCs w:val="44"/>
          <w:lang w:val="en-US" w:eastAsia="zh-CN"/>
        </w:rPr>
      </w:pPr>
    </w:p>
    <w:p w14:paraId="7E5C127E">
      <w:pPr>
        <w:jc w:val="center"/>
        <w:rPr>
          <w:rFonts w:hint="default" w:ascii="宋体" w:hAnsi="宋体" w:eastAsia="宋体" w:cs="黑体"/>
          <w:sz w:val="44"/>
          <w:szCs w:val="44"/>
          <w:lang w:val="en-US" w:eastAsia="zh-CN"/>
        </w:rPr>
      </w:pPr>
      <w:r>
        <w:rPr>
          <w:rFonts w:hint="default" w:ascii="Times New Roman" w:hAnsi="宋体" w:eastAsia="宋体" w:cs="黑体"/>
          <w:kern w:val="2"/>
          <w:sz w:val="44"/>
          <w:szCs w:val="44"/>
          <w:lang w:val="en-US" w:eastAsia="zh-CN" w:bidi="ar-SA"/>
        </w:rPr>
        <w:t>G6000B</w:t>
      </w:r>
    </w:p>
    <w:p w14:paraId="413E6D7C">
      <w:pPr>
        <w:rPr>
          <w:rFonts w:hint="eastAsia" w:ascii="宋体" w:hAnsi="宋体" w:cs="黑体"/>
        </w:rPr>
      </w:pPr>
    </w:p>
    <w:p w14:paraId="0365FE77">
      <w:pPr>
        <w:rPr>
          <w:rFonts w:hint="eastAsia" w:ascii="宋体" w:hAnsi="宋体" w:cs="黑体"/>
        </w:rPr>
      </w:pPr>
    </w:p>
    <w:p w14:paraId="1BBB35C3">
      <w:pPr>
        <w:jc w:val="center"/>
        <w:rPr>
          <w:rFonts w:hint="default" w:ascii="宋体" w:hAnsi="宋体" w:cs="黑体"/>
          <w:sz w:val="44"/>
          <w:szCs w:val="44"/>
          <w:lang w:val="en-US"/>
        </w:rPr>
      </w:pPr>
      <w:r>
        <w:rPr>
          <w:rFonts w:hint="default" w:ascii="Times New Roman" w:hAnsi="宋体" w:eastAsia="宋体" w:cs="黑体"/>
          <w:kern w:val="2"/>
          <w:sz w:val="44"/>
          <w:szCs w:val="44"/>
          <w:lang w:val="en-US" w:eastAsia="zh-CN" w:bidi="ar-SA"/>
        </w:rPr>
        <w:t>operating instruction</w:t>
      </w:r>
    </w:p>
    <w:p w14:paraId="6D93FE41">
      <w:pPr>
        <w:rPr>
          <w:rFonts w:ascii="宋体" w:hAnsi="宋体" w:cs="仿宋"/>
        </w:rPr>
      </w:pPr>
    </w:p>
    <w:p w14:paraId="2D960DB9">
      <w:pPr>
        <w:rPr>
          <w:rFonts w:ascii="宋体" w:hAnsi="宋体" w:cs="仿宋"/>
        </w:rPr>
      </w:pPr>
    </w:p>
    <w:p w14:paraId="4EC5D723">
      <w:pPr>
        <w:rPr>
          <w:rFonts w:ascii="宋体" w:hAnsi="宋体" w:cs="仿宋"/>
        </w:rPr>
      </w:pPr>
    </w:p>
    <w:p w14:paraId="58EEBAAF">
      <w:pPr>
        <w:rPr>
          <w:rFonts w:ascii="宋体" w:hAnsi="宋体" w:cs="仿宋"/>
        </w:rPr>
      </w:pPr>
    </w:p>
    <w:p w14:paraId="7A06AFA6">
      <w:pPr>
        <w:rPr>
          <w:rFonts w:ascii="宋体" w:hAnsi="宋体" w:cs="仿宋"/>
        </w:rPr>
      </w:pPr>
    </w:p>
    <w:p w14:paraId="3DB4D8F8">
      <w:pPr>
        <w:rPr>
          <w:rFonts w:ascii="宋体" w:hAnsi="宋体" w:cs="仿宋"/>
        </w:rPr>
      </w:pPr>
      <w:r>
        <w:drawing>
          <wp:anchor distT="0" distB="0" distL="114300" distR="114300" simplePos="0" relativeHeight="251659264" behindDoc="0" locked="0" layoutInCell="1" allowOverlap="1">
            <wp:simplePos x="0" y="0"/>
            <wp:positionH relativeFrom="column">
              <wp:posOffset>614045</wp:posOffset>
            </wp:positionH>
            <wp:positionV relativeFrom="paragraph">
              <wp:posOffset>38100</wp:posOffset>
            </wp:positionV>
            <wp:extent cx="3363595" cy="1299210"/>
            <wp:effectExtent l="0" t="0" r="14605" b="21590"/>
            <wp:wrapNone/>
            <wp:docPr id="1" name="图片 42" descr="BEY43966{[37KV4UA@ZQ(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2" descr="BEY43966{[37KV4UA@ZQ(_Q"/>
                    <pic:cNvPicPr>
                      <a:picLocks noChangeAspect="1"/>
                    </pic:cNvPicPr>
                  </pic:nvPicPr>
                  <pic:blipFill>
                    <a:blip r:embed="rId8"/>
                    <a:srcRect t="40907" b="20334"/>
                    <a:stretch>
                      <a:fillRect/>
                    </a:stretch>
                  </pic:blipFill>
                  <pic:spPr>
                    <a:xfrm>
                      <a:off x="0" y="0"/>
                      <a:ext cx="3363595" cy="1299210"/>
                    </a:xfrm>
                    <a:prstGeom prst="rect">
                      <a:avLst/>
                    </a:prstGeom>
                    <a:noFill/>
                    <a:ln>
                      <a:noFill/>
                    </a:ln>
                  </pic:spPr>
                </pic:pic>
              </a:graphicData>
            </a:graphic>
          </wp:anchor>
        </w:drawing>
      </w:r>
    </w:p>
    <w:p w14:paraId="5926E17C">
      <w:pPr>
        <w:rPr>
          <w:rFonts w:ascii="宋体" w:hAnsi="宋体" w:cs="仿宋"/>
        </w:rPr>
      </w:pPr>
    </w:p>
    <w:p w14:paraId="637C7597">
      <w:pPr>
        <w:rPr>
          <w:rFonts w:ascii="宋体" w:hAnsi="宋体" w:cs="仿宋"/>
        </w:rPr>
      </w:pPr>
    </w:p>
    <w:p w14:paraId="30935C8F">
      <w:pPr>
        <w:rPr>
          <w:rFonts w:ascii="宋体" w:hAnsi="宋体" w:cs="仿宋"/>
        </w:rPr>
      </w:pPr>
    </w:p>
    <w:p w14:paraId="737938E8">
      <w:pPr>
        <w:rPr>
          <w:rFonts w:ascii="宋体" w:hAnsi="宋体" w:cs="仿宋"/>
        </w:rPr>
      </w:pPr>
    </w:p>
    <w:p w14:paraId="31007B64">
      <w:pPr>
        <w:rPr>
          <w:rFonts w:ascii="宋体" w:hAnsi="宋体" w:cs="仿宋"/>
        </w:rPr>
      </w:pPr>
    </w:p>
    <w:p w14:paraId="4F189EF2">
      <w:pPr>
        <w:rPr>
          <w:rFonts w:hint="eastAsia" w:ascii="宋体" w:hAnsi="宋体" w:cs="仿宋"/>
        </w:rPr>
      </w:pPr>
    </w:p>
    <w:p w14:paraId="7B5CB919">
      <w:pPr>
        <w:rPr>
          <w:rFonts w:ascii="宋体" w:hAnsi="宋体" w:cs="仿宋"/>
        </w:rPr>
      </w:pPr>
    </w:p>
    <w:p w14:paraId="71C2CC40">
      <w:pPr>
        <w:rPr>
          <w:rFonts w:hint="eastAsia" w:ascii="宋体" w:hAnsi="宋体" w:cs="仿宋"/>
        </w:rPr>
      </w:pPr>
    </w:p>
    <w:p w14:paraId="07A90422">
      <w:pPr>
        <w:jc w:val="center"/>
        <w:rPr>
          <w:rFonts w:hint="eastAsia" w:ascii="宋体" w:hAnsi="宋体" w:cs="仿宋"/>
        </w:rPr>
      </w:pPr>
    </w:p>
    <w:p w14:paraId="2C41169B">
      <w:pPr>
        <w:rPr>
          <w:rFonts w:hint="eastAsia" w:ascii="宋体" w:hAnsi="宋体" w:cs="仿宋"/>
        </w:rPr>
      </w:pPr>
    </w:p>
    <w:p w14:paraId="47C735D0">
      <w:pPr>
        <w:rPr>
          <w:rFonts w:hint="eastAsia" w:ascii="宋体" w:hAnsi="宋体" w:cs="仿宋"/>
        </w:rPr>
      </w:pPr>
    </w:p>
    <w:p w14:paraId="514E61E5">
      <w:pPr>
        <w:rPr>
          <w:rFonts w:ascii="宋体" w:hAnsi="宋体" w:cs="仿宋"/>
        </w:rPr>
      </w:pPr>
    </w:p>
    <w:p w14:paraId="38CA468D">
      <w:pPr>
        <w:jc w:val="center"/>
        <w:rPr>
          <w:rFonts w:hint="default" w:ascii="宋体" w:hAnsi="宋体" w:cs="仿宋"/>
          <w:sz w:val="32"/>
          <w:szCs w:val="32"/>
          <w:lang w:val="en-US"/>
        </w:rPr>
      </w:pPr>
      <w:r>
        <w:rPr>
          <w:rFonts w:hint="default" w:ascii="Times New Roman" w:hAnsi="仿宋" w:eastAsia="仿宋" w:cs="仿宋"/>
          <w:b/>
          <w:kern w:val="2"/>
          <w:sz w:val="32"/>
          <w:szCs w:val="32"/>
          <w:lang w:val="en-US" w:eastAsia="zh-CN" w:bidi="ar-SA"/>
        </w:rPr>
        <w:t>Henan Otywell Electronic Technology Co., Ltd.</w:t>
      </w:r>
    </w:p>
    <w:p w14:paraId="08DDA4BF">
      <w:pPr>
        <w:rPr>
          <w:rFonts w:hint="eastAsia" w:ascii="宋体" w:hAnsi="宋体" w:cs="仿宋"/>
        </w:rPr>
      </w:pPr>
    </w:p>
    <w:p w14:paraId="363AC6D3">
      <w:pPr>
        <w:rPr>
          <w:rFonts w:hint="eastAsia" w:ascii="宋体" w:hAnsi="宋体" w:cs="仿宋"/>
        </w:rPr>
      </w:pPr>
    </w:p>
    <w:p w14:paraId="6B62694B">
      <w:pPr>
        <w:rPr>
          <w:rFonts w:hint="eastAsia" w:ascii="宋体" w:hAnsi="宋体" w:cs="仿宋"/>
        </w:rPr>
      </w:pPr>
    </w:p>
    <w:p w14:paraId="27083F29">
      <w:pPr>
        <w:rPr>
          <w:rFonts w:hint="eastAsia" w:ascii="宋体" w:hAnsi="宋体" w:cs="仿宋"/>
        </w:rPr>
      </w:pPr>
    </w:p>
    <w:p w14:paraId="7C9C88F0">
      <w:pPr>
        <w:rPr>
          <w:rFonts w:hint="eastAsia" w:ascii="宋体" w:hAnsi="宋体" w:cs="仿宋"/>
        </w:rPr>
      </w:pPr>
    </w:p>
    <w:p w14:paraId="6772FED3">
      <w:pPr>
        <w:jc w:val="center"/>
        <w:rPr>
          <w:rFonts w:hint="default" w:ascii="宋体" w:hAnsi="宋体" w:cs="黑体"/>
          <w:b/>
          <w:bCs/>
          <w:sz w:val="32"/>
          <w:szCs w:val="32"/>
          <w:lang w:val="en-US"/>
        </w:rPr>
      </w:pPr>
      <w:r>
        <w:rPr>
          <w:rFonts w:hint="default" w:ascii="Times New Roman" w:hAnsi="宋体" w:eastAsia="宋体" w:cs="黑体"/>
          <w:b/>
          <w:bCs/>
          <w:kern w:val="2"/>
          <w:sz w:val="32"/>
          <w:szCs w:val="32"/>
          <w:lang w:val="en-US" w:eastAsia="zh-CN" w:bidi="ar-SA"/>
        </w:rPr>
        <w:t>catalogue</w:t>
      </w:r>
    </w:p>
    <w:p w14:paraId="661AF5D3">
      <w:pPr>
        <w:pStyle w:val="11"/>
        <w:tabs>
          <w:tab w:val="right" w:leader="dot" w:pos="7134"/>
        </w:tabs>
        <w:rPr>
          <w:rFonts w:hint="default" w:ascii="等线" w:hAnsi="等线" w:eastAsia="等线"/>
          <w:lang w:val="en-US"/>
        </w:rPr>
      </w:pPr>
      <w:r>
        <w:fldChar w:fldCharType="begin"/>
      </w:r>
      <w:r>
        <w:instrText xml:space="preserve"> TOC \o "1-3" \h \z \u </w:instrText>
      </w:r>
      <w:r>
        <w:fldChar w:fldCharType="separate"/>
      </w:r>
      <w:r>
        <w:rPr>
          <w:rStyle w:val="21"/>
          <w:rFonts w:ascii="Times New Roman"/>
          <w:lang w:val="en-US"/>
        </w:rPr>
        <w:fldChar w:fldCharType="begin"/>
      </w:r>
      <w:r>
        <w:rPr>
          <w:rStyle w:val="21"/>
          <w:rFonts w:ascii="Times New Roman"/>
          <w:lang w:val="en-US"/>
        </w:rPr>
        <w:instrText xml:space="preserve"> HYPERLINK \l "_Toc90393091" </w:instrText>
      </w:r>
      <w:r>
        <w:rPr>
          <w:rStyle w:val="21"/>
          <w:rFonts w:ascii="Times New Roman"/>
          <w:lang w:val="en-US"/>
        </w:rPr>
        <w:fldChar w:fldCharType="separate"/>
      </w:r>
      <w:r>
        <w:rPr>
          <w:rStyle w:val="21"/>
          <w:rFonts w:ascii="Times New Roman"/>
          <w:lang w:val="en-US"/>
        </w:rPr>
        <w:t>I. Essential Reading for Users 1</w:t>
      </w:r>
      <w:r>
        <w:rPr>
          <w:rStyle w:val="21"/>
          <w:rFonts w:ascii="Times New Roman"/>
          <w:lang w:val="en-US"/>
        </w:rPr>
        <w:tab/>
      </w:r>
      <w:r>
        <w:rPr>
          <w:rStyle w:val="21"/>
          <w:rFonts w:ascii="Times New Roman"/>
          <w:lang w:val="en-US"/>
        </w:rPr>
        <w:t>4</w:t>
      </w:r>
      <w:r>
        <w:rPr>
          <w:rStyle w:val="21"/>
          <w:rFonts w:ascii="Times New Roman"/>
          <w:lang w:val="en-US"/>
        </w:rPr>
        <w:fldChar w:fldCharType="end"/>
      </w:r>
    </w:p>
    <w:p w14:paraId="3D1A18E3">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"_Toc90393092" </w:instrText>
      </w:r>
      <w:r>
        <w:rPr>
          <w:rStyle w:val="21"/>
          <w:rFonts w:ascii="Times New Roman"/>
          <w:lang w:val="en-US"/>
        </w:rPr>
        <w:fldChar w:fldCharType="separate"/>
      </w:r>
      <w:r>
        <w:rPr>
          <w:rStyle w:val="21"/>
          <w:rFonts w:ascii="Times New Roman"/>
          <w:lang w:val="en-US"/>
        </w:rPr>
        <w:t>1.1 User Guidelines 1</w:t>
      </w:r>
      <w:r>
        <w:rPr>
          <w:rStyle w:val="21"/>
          <w:rFonts w:ascii="Times New Roman"/>
          <w:lang w:val="en-US"/>
        </w:rPr>
        <w:tab/>
      </w:r>
      <w:r>
        <w:rPr>
          <w:rStyle w:val="21"/>
          <w:rFonts w:ascii="Times New Roman"/>
          <w:lang w:val="en-US"/>
        </w:rPr>
        <w:t>4</w:t>
      </w:r>
      <w:r>
        <w:rPr>
          <w:rStyle w:val="21"/>
          <w:rFonts w:ascii="Times New Roman"/>
          <w:lang w:val="en-US"/>
        </w:rPr>
        <w:fldChar w:fldCharType="end"/>
      </w:r>
    </w:p>
    <w:p w14:paraId="01264C8F">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"_Toc90393093" </w:instrText>
      </w:r>
      <w:r>
        <w:rPr>
          <w:rStyle w:val="21"/>
          <w:rFonts w:ascii="Times New Roman"/>
          <w:lang w:val="en-US"/>
        </w:rPr>
        <w:fldChar w:fldCharType="separate"/>
      </w:r>
      <w:r>
        <w:rPr>
          <w:rStyle w:val="21"/>
          <w:rFonts w:ascii="Times New Roman"/>
          <w:lang w:val="en-US"/>
        </w:rPr>
        <w:t>1.2 Quality Assurance and Exemption Clauses 1</w:t>
      </w:r>
      <w:r>
        <w:rPr>
          <w:rStyle w:val="21"/>
          <w:rFonts w:ascii="Times New Roman"/>
          <w:lang w:val="en-US"/>
        </w:rPr>
        <w:tab/>
      </w:r>
      <w:r>
        <w:rPr>
          <w:rStyle w:val="21"/>
          <w:rFonts w:ascii="Times New Roman"/>
          <w:lang w:val="en-US"/>
        </w:rPr>
        <w:t>4</w:t>
      </w:r>
      <w:r>
        <w:rPr>
          <w:rStyle w:val="21"/>
          <w:rFonts w:ascii="Times New Roman"/>
          <w:lang w:val="en-US"/>
        </w:rPr>
        <w:fldChar w:fldCharType="end"/>
      </w:r>
    </w:p>
    <w:p w14:paraId="4DB2D970">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"_Toc90393094" </w:instrText>
      </w:r>
      <w:r>
        <w:rPr>
          <w:rStyle w:val="21"/>
          <w:rFonts w:ascii="Times New Roman"/>
          <w:lang w:val="en-US"/>
        </w:rPr>
        <w:fldChar w:fldCharType="separate"/>
      </w:r>
      <w:r>
        <w:rPr>
          <w:rStyle w:val="21"/>
          <w:rFonts w:ascii="Times New Roman"/>
          <w:lang w:val="en-US"/>
        </w:rPr>
        <w:t>1.3 Standards followed by this product 2</w:t>
      </w:r>
      <w:r>
        <w:rPr>
          <w:rStyle w:val="21"/>
          <w:rFonts w:ascii="Times New Roman"/>
          <w:lang w:val="en-US"/>
        </w:rPr>
        <w:tab/>
      </w:r>
      <w:r>
        <w:rPr>
          <w:rStyle w:val="21"/>
          <w:rFonts w:ascii="Times New Roman"/>
          <w:lang w:val="en-US"/>
        </w:rPr>
        <w:t>5</w:t>
      </w:r>
      <w:r>
        <w:rPr>
          <w:rStyle w:val="21"/>
          <w:rFonts w:ascii="Times New Roman"/>
          <w:lang w:val="en-US"/>
        </w:rPr>
        <w:fldChar w:fldCharType="end"/>
      </w:r>
    </w:p>
    <w:p w14:paraId="0EF3B06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"_Toc90393095" </w:instrText>
      </w:r>
      <w:r>
        <w:rPr>
          <w:rStyle w:val="21"/>
          <w:rFonts w:ascii="Times New Roman"/>
          <w:lang w:val="en-US"/>
        </w:rPr>
        <w:fldChar w:fldCharType="separate"/>
      </w:r>
      <w:r>
        <w:rPr>
          <w:rStyle w:val="21"/>
          <w:rFonts w:ascii="Times New Roman"/>
          <w:lang w:val="en-US"/>
        </w:rPr>
        <w:t>1.4 Safety Precautions 2</w:t>
      </w:r>
      <w:r>
        <w:rPr>
          <w:rStyle w:val="21"/>
          <w:rFonts w:ascii="Times New Roman"/>
          <w:lang w:val="en-US"/>
        </w:rPr>
        <w:tab/>
      </w:r>
      <w:r>
        <w:rPr>
          <w:rStyle w:val="21"/>
          <w:rFonts w:ascii="Times New Roman"/>
          <w:lang w:val="en-US"/>
        </w:rPr>
        <w:t>5</w:t>
      </w:r>
      <w:r>
        <w:rPr>
          <w:rStyle w:val="21"/>
          <w:rFonts w:ascii="Times New Roman"/>
          <w:lang w:val="en-US"/>
        </w:rPr>
        <w:fldChar w:fldCharType="end"/>
      </w:r>
    </w:p>
    <w:p w14:paraId="7B31370C">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"_Toc90393096" </w:instrText>
      </w:r>
      <w:r>
        <w:rPr>
          <w:rStyle w:val="21"/>
          <w:rFonts w:ascii="Times New Roman"/>
          <w:lang w:val="en-US"/>
        </w:rPr>
        <w:fldChar w:fldCharType="separate"/>
      </w:r>
      <w:r>
        <w:rPr>
          <w:rStyle w:val="21"/>
          <w:rFonts w:ascii="Times New Roman"/>
          <w:lang w:val="en-US"/>
        </w:rPr>
        <w:t>1.4.1 Precautions for Safe Operation of Instruments 2</w:t>
      </w:r>
      <w:r>
        <w:rPr>
          <w:rStyle w:val="21"/>
          <w:rFonts w:ascii="Times New Roman"/>
          <w:lang w:val="en-US"/>
        </w:rPr>
        <w:tab/>
      </w:r>
      <w:r>
        <w:rPr>
          <w:rStyle w:val="21"/>
          <w:rFonts w:ascii="Times New Roman"/>
          <w:lang w:val="en-US"/>
        </w:rPr>
        <w:t>5</w:t>
      </w:r>
      <w:r>
        <w:rPr>
          <w:rStyle w:val="21"/>
          <w:rFonts w:ascii="Times New Roman"/>
          <w:lang w:val="en-US"/>
        </w:rPr>
        <w:fldChar w:fldCharType="end"/>
      </w:r>
    </w:p>
    <w:p w14:paraId="470048A5">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"_Toc90393097" </w:instrText>
      </w:r>
      <w:r>
        <w:rPr>
          <w:rStyle w:val="21"/>
          <w:rFonts w:ascii="Times New Roman"/>
          <w:lang w:val="en-US"/>
        </w:rPr>
        <w:fldChar w:fldCharType="separate"/>
      </w:r>
      <w:r>
        <w:rPr>
          <w:rStyle w:val="21"/>
          <w:rFonts w:ascii="Times New Roman"/>
          <w:lang w:val="en-US"/>
        </w:rPr>
        <w:t>1.4.2 Other Safety Precautions 2</w:t>
      </w:r>
      <w:r>
        <w:rPr>
          <w:rStyle w:val="21"/>
          <w:rFonts w:ascii="Times New Roman"/>
          <w:lang w:val="en-US"/>
        </w:rPr>
        <w:tab/>
      </w:r>
      <w:r>
        <w:rPr>
          <w:rStyle w:val="21"/>
          <w:rFonts w:ascii="Times New Roman"/>
          <w:lang w:val="en-US"/>
        </w:rPr>
        <w:t>5</w:t>
      </w:r>
      <w:r>
        <w:rPr>
          <w:rStyle w:val="21"/>
          <w:rFonts w:ascii="Times New Roman"/>
          <w:lang w:val="en-US"/>
        </w:rPr>
        <w:fldChar w:fldCharType="end"/>
      </w:r>
    </w:p>
    <w:p w14:paraId="557D4B40">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"_Toc90393098" </w:instrText>
      </w:r>
      <w:r>
        <w:rPr>
          <w:rStyle w:val="21"/>
          <w:rFonts w:ascii="Times New Roman"/>
          <w:lang w:val="en-US"/>
        </w:rPr>
        <w:fldChar w:fldCharType="separate"/>
      </w:r>
      <w:r>
        <w:rPr>
          <w:rStyle w:val="21"/>
          <w:rFonts w:ascii="Times New Roman"/>
          <w:lang w:val="en-US"/>
        </w:rPr>
        <w:t>1.5 Avoid using faulty 3</w:t>
      </w:r>
      <w:r>
        <w:rPr>
          <w:rStyle w:val="21"/>
          <w:rFonts w:ascii="Times New Roman"/>
          <w:lang w:val="en-US"/>
        </w:rPr>
        <w:tab/>
      </w:r>
      <w:r>
        <w:rPr>
          <w:rStyle w:val="21"/>
          <w:rFonts w:ascii="Times New Roman"/>
          <w:lang w:val="en-US"/>
        </w:rPr>
        <w:t>6</w:t>
      </w:r>
      <w:r>
        <w:rPr>
          <w:rStyle w:val="21"/>
          <w:rFonts w:ascii="Times New Roman"/>
          <w:lang w:val="en-US"/>
        </w:rPr>
        <w:fldChar w:fldCharType="end"/>
      </w:r>
    </w:p>
    <w:p w14:paraId="3CFFAD48">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"_Toc90393099" </w:instrText>
      </w:r>
      <w:r>
        <w:rPr>
          <w:rStyle w:val="21"/>
          <w:rFonts w:ascii="Times New Roman"/>
          <w:lang w:val="en-US"/>
        </w:rPr>
        <w:fldChar w:fldCharType="separate"/>
      </w:r>
      <w:r>
        <w:rPr>
          <w:rStyle w:val="21"/>
          <w:rFonts w:ascii="Times New Roman"/>
          <w:lang w:val="en-US"/>
        </w:rPr>
        <w:t>II. Product Introduction 4</w:t>
      </w:r>
      <w:r>
        <w:rPr>
          <w:rStyle w:val="21"/>
          <w:rFonts w:ascii="Times New Roman"/>
          <w:lang w:val="en-US"/>
        </w:rPr>
        <w:tab/>
      </w:r>
      <w:r>
        <w:rPr>
          <w:rStyle w:val="21"/>
          <w:rFonts w:ascii="Times New Roman"/>
          <w:lang w:val="en-US"/>
        </w:rPr>
        <w:t>6</w:t>
      </w:r>
      <w:r>
        <w:rPr>
          <w:rStyle w:val="21"/>
          <w:rFonts w:ascii="Times New Roman"/>
          <w:lang w:val="en-US"/>
        </w:rPr>
        <w:fldChar w:fldCharType="end"/>
      </w:r>
    </w:p>
    <w:p w14:paraId="6E9E4B49">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"_Toc90393100" </w:instrText>
      </w:r>
      <w:r>
        <w:rPr>
          <w:rStyle w:val="21"/>
          <w:rFonts w:ascii="Times New Roman"/>
          <w:lang w:val="en-US"/>
        </w:rPr>
        <w:fldChar w:fldCharType="separate"/>
      </w:r>
      <w:r>
        <w:rPr>
          <w:rStyle w:val="21"/>
          <w:rFonts w:ascii="Times New Roman"/>
          <w:lang w:val="en-US"/>
        </w:rPr>
        <w:t>2.1 Product Overview 4</w:t>
      </w:r>
      <w:r>
        <w:rPr>
          <w:rStyle w:val="21"/>
          <w:rFonts w:ascii="Times New Roman"/>
          <w:lang w:val="en-US"/>
        </w:rPr>
        <w:tab/>
      </w:r>
      <w:r>
        <w:rPr>
          <w:rStyle w:val="21"/>
          <w:rFonts w:ascii="Times New Roman"/>
          <w:lang w:val="en-US"/>
        </w:rPr>
        <w:t>6</w:t>
      </w:r>
      <w:r>
        <w:rPr>
          <w:rStyle w:val="21"/>
          <w:rFonts w:ascii="Times New Roman"/>
          <w:lang w:val="en-US"/>
        </w:rPr>
        <w:fldChar w:fldCharType="end"/>
      </w:r>
    </w:p>
    <w:p w14:paraId="3485D9F5">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"_Toc90393101" </w:instrText>
      </w:r>
      <w:r>
        <w:rPr>
          <w:rStyle w:val="21"/>
          <w:rFonts w:ascii="Times New Roman"/>
          <w:lang w:val="en-US"/>
        </w:rPr>
        <w:fldChar w:fldCharType="separate"/>
      </w:r>
      <w:r>
        <w:rPr>
          <w:rStyle w:val="21"/>
          <w:rFonts w:ascii="Times New Roman"/>
          <w:lang w:val="en-US"/>
        </w:rPr>
        <w:t>2.1.1 Detection Principle 4</w:t>
      </w:r>
      <w:r>
        <w:rPr>
          <w:rStyle w:val="21"/>
          <w:rFonts w:ascii="Times New Roman"/>
          <w:lang w:val="en-US"/>
        </w:rPr>
        <w:tab/>
      </w:r>
      <w:r>
        <w:rPr>
          <w:rStyle w:val="21"/>
          <w:rFonts w:ascii="Times New Roman"/>
          <w:lang w:val="en-US"/>
        </w:rPr>
        <w:t>7</w:t>
      </w:r>
      <w:r>
        <w:rPr>
          <w:rStyle w:val="21"/>
          <w:rFonts w:ascii="Times New Roman"/>
          <w:lang w:val="en-US"/>
        </w:rPr>
        <w:fldChar w:fldCharType="end"/>
      </w:r>
    </w:p>
    <w:p w14:paraId="29EAB80D">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"_Toc90393102" </w:instrText>
      </w:r>
      <w:r>
        <w:rPr>
          <w:rStyle w:val="21"/>
          <w:rFonts w:ascii="Times New Roman"/>
          <w:lang w:val="en-US"/>
        </w:rPr>
        <w:fldChar w:fldCharType="separate"/>
      </w:r>
      <w:r>
        <w:rPr>
          <w:rStyle w:val="21"/>
          <w:rFonts w:ascii="Times New Roman"/>
          <w:lang w:val="en-US"/>
        </w:rPr>
        <w:t>2.2 Transceiver Device 4</w:t>
      </w:r>
      <w:r>
        <w:rPr>
          <w:rStyle w:val="21"/>
          <w:rFonts w:ascii="Times New Roman"/>
          <w:lang w:val="en-US"/>
        </w:rPr>
        <w:tab/>
      </w:r>
      <w:r>
        <w:rPr>
          <w:rStyle w:val="21"/>
          <w:rFonts w:ascii="Times New Roman"/>
          <w:lang w:val="en-US"/>
        </w:rPr>
        <w:t>7</w:t>
      </w:r>
      <w:r>
        <w:rPr>
          <w:rStyle w:val="21"/>
          <w:rFonts w:ascii="Times New Roman"/>
          <w:lang w:val="en-US"/>
        </w:rPr>
        <w:fldChar w:fldCharType="end"/>
      </w:r>
    </w:p>
    <w:p w14:paraId="157680F6">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"_Toc90393103" </w:instrText>
      </w:r>
      <w:r>
        <w:rPr>
          <w:rStyle w:val="21"/>
          <w:rFonts w:ascii="Times New Roman"/>
          <w:lang w:val="en-US"/>
        </w:rPr>
        <w:fldChar w:fldCharType="separate"/>
      </w:r>
      <w:r>
        <w:rPr>
          <w:rStyle w:val="21"/>
          <w:rFonts w:ascii="Times New Roman"/>
          <w:lang w:val="en-US"/>
        </w:rPr>
        <w:t>2.3 Receiving Device 4</w:t>
      </w:r>
      <w:r>
        <w:rPr>
          <w:rStyle w:val="21"/>
          <w:rFonts w:ascii="Times New Roman"/>
          <w:lang w:val="en-US"/>
        </w:rPr>
        <w:tab/>
      </w:r>
      <w:r>
        <w:rPr>
          <w:rStyle w:val="21"/>
          <w:rFonts w:ascii="Times New Roman"/>
          <w:lang w:val="en-US"/>
        </w:rPr>
        <w:t>7</w:t>
      </w:r>
      <w:r>
        <w:rPr>
          <w:rStyle w:val="21"/>
          <w:rFonts w:ascii="Times New Roman"/>
          <w:lang w:val="en-US"/>
        </w:rPr>
        <w:fldChar w:fldCharType="end"/>
      </w:r>
    </w:p>
    <w:p w14:paraId="0D4B69EC">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"_Toc90393104" </w:instrText>
      </w:r>
      <w:r>
        <w:rPr>
          <w:rStyle w:val="21"/>
          <w:rFonts w:ascii="Times New Roman"/>
          <w:lang w:val="en-US"/>
        </w:rPr>
        <w:fldChar w:fldCharType="separate"/>
      </w:r>
      <w:r>
        <w:rPr>
          <w:rStyle w:val="21"/>
          <w:rFonts w:ascii="Times New Roman"/>
          <w:lang w:val="en-US"/>
        </w:rPr>
        <w:t>III. Operational Procedures 5</w:t>
      </w:r>
      <w:r>
        <w:rPr>
          <w:rStyle w:val="21"/>
          <w:rFonts w:ascii="Times New Roman"/>
          <w:lang w:val="en-US"/>
        </w:rPr>
        <w:tab/>
      </w:r>
      <w:r>
        <w:rPr>
          <w:rStyle w:val="21"/>
          <w:rFonts w:ascii="Times New Roman"/>
          <w:lang w:val="en-US"/>
        </w:rPr>
        <w:t>8</w:t>
      </w:r>
      <w:r>
        <w:rPr>
          <w:rStyle w:val="21"/>
          <w:rFonts w:ascii="Times New Roman"/>
          <w:lang w:val="en-US"/>
        </w:rPr>
        <w:fldChar w:fldCharType="end"/>
      </w:r>
    </w:p>
    <w:p w14:paraId="752E8E00">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"_Toc90393105" </w:instrText>
      </w:r>
      <w:r>
        <w:rPr>
          <w:rStyle w:val="21"/>
          <w:rFonts w:ascii="Times New Roman"/>
          <w:lang w:val="en-US"/>
        </w:rPr>
        <w:fldChar w:fldCharType="separate"/>
      </w:r>
      <w:r>
        <w:rPr>
          <w:rStyle w:val="21"/>
          <w:rFonts w:ascii="Times New Roman"/>
          <w:lang w:val="en-US"/>
        </w:rPr>
        <w:t>3.1 Equipment Inspection 5</w:t>
      </w:r>
      <w:r>
        <w:rPr>
          <w:rStyle w:val="21"/>
          <w:rFonts w:ascii="Times New Roman"/>
          <w:lang w:val="en-US"/>
        </w:rPr>
        <w:tab/>
      </w:r>
      <w:r>
        <w:rPr>
          <w:rStyle w:val="21"/>
          <w:rFonts w:ascii="Times New Roman"/>
          <w:lang w:val="en-US"/>
        </w:rPr>
        <w:t>8</w:t>
      </w:r>
      <w:r>
        <w:rPr>
          <w:rStyle w:val="21"/>
          <w:rFonts w:ascii="Times New Roman"/>
          <w:lang w:val="en-US"/>
        </w:rPr>
        <w:fldChar w:fldCharType="end"/>
      </w:r>
    </w:p>
    <w:p w14:paraId="33C4C187">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"_Toc90393106" </w:instrText>
      </w:r>
      <w:r>
        <w:rPr>
          <w:rStyle w:val="21"/>
          <w:rFonts w:ascii="Times New Roman"/>
          <w:lang w:val="en-US"/>
        </w:rPr>
        <w:fldChar w:fldCharType="separate"/>
      </w:r>
      <w:r>
        <w:rPr>
          <w:rStyle w:val="21"/>
          <w:rFonts w:ascii="Times New Roman"/>
          <w:lang w:val="en-US"/>
        </w:rPr>
        <w:t>3.2 Equipment Operation 5</w:t>
      </w:r>
      <w:r>
        <w:rPr>
          <w:rStyle w:val="21"/>
          <w:rFonts w:ascii="Times New Roman"/>
          <w:lang w:val="en-US"/>
        </w:rPr>
        <w:tab/>
      </w:r>
      <w:r>
        <w:rPr>
          <w:rStyle w:val="21"/>
          <w:rFonts w:ascii="Times New Roman"/>
          <w:lang w:val="en-US"/>
        </w:rPr>
        <w:t>8</w:t>
      </w:r>
      <w:r>
        <w:rPr>
          <w:rStyle w:val="21"/>
          <w:rFonts w:ascii="Times New Roman"/>
          <w:lang w:val="en-US"/>
        </w:rPr>
        <w:fldChar w:fldCharType="end"/>
      </w:r>
    </w:p>
    <w:p w14:paraId="00E7621A">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"_Toc90393107" </w:instrText>
      </w:r>
      <w:r>
        <w:rPr>
          <w:rStyle w:val="21"/>
          <w:rFonts w:ascii="Times New Roman"/>
          <w:lang w:val="en-US"/>
        </w:rPr>
        <w:fldChar w:fldCharType="separate"/>
      </w:r>
      <w:r>
        <w:rPr>
          <w:rStyle w:val="21"/>
          <w:rFonts w:ascii="Times New Roman"/>
          <w:lang w:val="en-US"/>
        </w:rPr>
        <w:t>IV. Installation Operating Procedures 5</w:t>
      </w:r>
      <w:r>
        <w:rPr>
          <w:rStyle w:val="21"/>
          <w:rFonts w:ascii="Times New Roman"/>
          <w:lang w:val="en-US"/>
        </w:rPr>
        <w:tab/>
      </w:r>
      <w:r>
        <w:rPr>
          <w:rStyle w:val="21"/>
          <w:rFonts w:ascii="Times New Roman"/>
          <w:lang w:val="en-US"/>
        </w:rPr>
        <w:t>8</w:t>
      </w:r>
      <w:r>
        <w:rPr>
          <w:rStyle w:val="21"/>
          <w:rFonts w:ascii="Times New Roman"/>
          <w:lang w:val="en-US"/>
        </w:rPr>
        <w:fldChar w:fldCharType="end"/>
      </w:r>
    </w:p>
    <w:p w14:paraId="426EC549">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"_Toc90393108" </w:instrText>
      </w:r>
      <w:r>
        <w:rPr>
          <w:rStyle w:val="21"/>
          <w:rFonts w:ascii="Times New Roman"/>
          <w:lang w:val="en-US"/>
        </w:rPr>
        <w:fldChar w:fldCharType="separate"/>
      </w:r>
      <w:r>
        <w:rPr>
          <w:rStyle w:val="21"/>
          <w:rFonts w:ascii="Times New Roman"/>
          <w:lang w:val="en-US"/>
        </w:rPr>
        <w:t>4.1 Installation Environment Requirements 5</w:t>
      </w:r>
      <w:r>
        <w:rPr>
          <w:rStyle w:val="21"/>
          <w:rFonts w:ascii="Times New Roman"/>
          <w:lang w:val="en-US"/>
        </w:rPr>
        <w:tab/>
      </w:r>
      <w:r>
        <w:rPr>
          <w:rStyle w:val="21"/>
          <w:rFonts w:ascii="Times New Roman"/>
          <w:lang w:val="en-US"/>
        </w:rPr>
        <w:t>8</w:t>
      </w:r>
      <w:r>
        <w:rPr>
          <w:rStyle w:val="21"/>
          <w:rFonts w:ascii="Times New Roman"/>
          <w:lang w:val="en-US"/>
        </w:rPr>
        <w:fldChar w:fldCharType="end"/>
      </w:r>
    </w:p>
    <w:p w14:paraId="0A4AB55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"_Toc90393109" </w:instrText>
      </w:r>
      <w:r>
        <w:rPr>
          <w:rStyle w:val="21"/>
          <w:rFonts w:ascii="Times New Roman"/>
          <w:lang w:val="en-US"/>
        </w:rPr>
        <w:fldChar w:fldCharType="separate"/>
      </w:r>
      <w:r>
        <w:rPr>
          <w:rStyle w:val="21"/>
          <w:rFonts w:ascii="Times New Roman"/>
          <w:lang w:val="en-US"/>
        </w:rPr>
        <w:t>4.2 Installation Location Requirements 6</w:t>
      </w:r>
      <w:r>
        <w:rPr>
          <w:rStyle w:val="21"/>
          <w:rFonts w:ascii="Times New Roman"/>
          <w:lang w:val="en-US"/>
        </w:rPr>
        <w:tab/>
      </w:r>
      <w:r>
        <w:rPr>
          <w:rStyle w:val="21"/>
          <w:rFonts w:ascii="Times New Roman"/>
          <w:lang w:val="en-US"/>
        </w:rPr>
        <w:t>8</w:t>
      </w:r>
      <w:r>
        <w:rPr>
          <w:rStyle w:val="21"/>
          <w:rFonts w:ascii="Times New Roman"/>
          <w:lang w:val="en-US"/>
        </w:rPr>
        <w:fldChar w:fldCharType="end"/>
      </w:r>
    </w:p>
    <w:p w14:paraId="754AA27E">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"_Toc90393110" </w:instrText>
      </w:r>
      <w:r>
        <w:rPr>
          <w:rStyle w:val="21"/>
          <w:rFonts w:ascii="Times New Roman"/>
          <w:lang w:val="en-US"/>
        </w:rPr>
        <w:fldChar w:fldCharType="separate"/>
      </w:r>
      <w:r>
        <w:rPr>
          <w:rStyle w:val="21"/>
          <w:rFonts w:ascii="Times New Roman"/>
          <w:lang w:val="en-US"/>
        </w:rPr>
        <w:t>4.3 Installation Dimensions and Requirements 6</w:t>
      </w:r>
      <w:r>
        <w:rPr>
          <w:rStyle w:val="21"/>
          <w:rFonts w:ascii="Times New Roman"/>
          <w:lang w:val="en-US"/>
        </w:rPr>
        <w:tab/>
      </w:r>
      <w:r>
        <w:rPr>
          <w:rStyle w:val="21"/>
          <w:rFonts w:ascii="Times New Roman"/>
          <w:lang w:val="en-US"/>
        </w:rPr>
        <w:t>9</w:t>
      </w:r>
      <w:r>
        <w:rPr>
          <w:rStyle w:val="21"/>
          <w:rFonts w:ascii="Times New Roman"/>
          <w:lang w:val="en-US"/>
        </w:rPr>
        <w:fldChar w:fldCharType="end"/>
      </w:r>
    </w:p>
    <w:p w14:paraId="2C894AF7">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"_Toc90393111" </w:instrText>
      </w:r>
      <w:r>
        <w:rPr>
          <w:rStyle w:val="21"/>
          <w:rFonts w:ascii="Times New Roman"/>
          <w:lang w:val="en-US"/>
        </w:rPr>
        <w:fldChar w:fldCharType="separate"/>
      </w:r>
      <w:r>
        <w:rPr>
          <w:rStyle w:val="21"/>
          <w:rFonts w:ascii="Times New Roman"/>
          <w:lang w:val="en-US"/>
        </w:rPr>
        <w:t>4.3.1 Appearance and Installation Dimension Diagram 6</w:t>
      </w:r>
      <w:r>
        <w:rPr>
          <w:rStyle w:val="21"/>
          <w:rFonts w:ascii="Times New Roman"/>
          <w:lang w:val="en-US"/>
        </w:rPr>
        <w:tab/>
      </w:r>
      <w:r>
        <w:rPr>
          <w:rStyle w:val="21"/>
          <w:rFonts w:ascii="Times New Roman"/>
          <w:lang w:val="en-US"/>
        </w:rPr>
        <w:t>9</w:t>
      </w:r>
      <w:r>
        <w:rPr>
          <w:rStyle w:val="21"/>
          <w:rFonts w:ascii="Times New Roman"/>
          <w:lang w:val="en-US"/>
        </w:rPr>
        <w:fldChar w:fldCharType="end"/>
      </w:r>
    </w:p>
    <w:p w14:paraId="40036A0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"_Toc90393112" </w:instrText>
      </w:r>
      <w:r>
        <w:rPr>
          <w:rStyle w:val="21"/>
          <w:rFonts w:ascii="Times New Roman"/>
          <w:lang w:val="en-US"/>
        </w:rPr>
        <w:fldChar w:fldCharType="separate"/>
      </w:r>
      <w:r>
        <w:rPr>
          <w:rStyle w:val="21"/>
          <w:rFonts w:ascii="Times New Roman"/>
          <w:lang w:val="en-US"/>
        </w:rPr>
        <w:t>4.3.2 Installation Requirements 6</w:t>
      </w:r>
      <w:r>
        <w:rPr>
          <w:rStyle w:val="21"/>
          <w:rFonts w:ascii="Times New Roman"/>
          <w:lang w:val="en-US"/>
        </w:rPr>
        <w:tab/>
      </w:r>
      <w:r>
        <w:rPr>
          <w:rStyle w:val="21"/>
          <w:rFonts w:ascii="Times New Roman"/>
          <w:lang w:val="en-US"/>
        </w:rPr>
        <w:t>9</w:t>
      </w:r>
      <w:r>
        <w:rPr>
          <w:rStyle w:val="21"/>
          <w:rFonts w:ascii="Times New Roman"/>
          <w:lang w:val="en-US"/>
        </w:rPr>
        <w:fldChar w:fldCharType="end"/>
      </w:r>
    </w:p>
    <w:p w14:paraId="09C599A2">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"_Toc90393113" </w:instrText>
      </w:r>
      <w:r>
        <w:rPr>
          <w:rStyle w:val="21"/>
          <w:rFonts w:ascii="Times New Roman"/>
          <w:lang w:val="en-US"/>
        </w:rPr>
        <w:fldChar w:fldCharType="separate"/>
      </w:r>
      <w:r>
        <w:rPr>
          <w:rStyle w:val="21"/>
          <w:rFonts w:ascii="Times New Roman"/>
          <w:lang w:val="en-US"/>
        </w:rPr>
        <w:t>4.4 Installation Procedures and Testing Methods 8</w:t>
      </w:r>
      <w:r>
        <w:rPr>
          <w:rStyle w:val="21"/>
          <w:rFonts w:ascii="Times New Roman"/>
          <w:lang w:val="en-US"/>
        </w:rPr>
        <w:tab/>
      </w:r>
      <w:r>
        <w:rPr>
          <w:rStyle w:val="21"/>
          <w:rFonts w:ascii="Times New Roman"/>
          <w:lang w:val="en-US"/>
        </w:rPr>
        <w:t>11</w:t>
      </w:r>
      <w:r>
        <w:rPr>
          <w:rStyle w:val="21"/>
          <w:rFonts w:ascii="Times New Roman"/>
          <w:lang w:val="en-US"/>
        </w:rPr>
        <w:fldChar w:fldCharType="end"/>
      </w:r>
    </w:p>
    <w:p w14:paraId="3075BF82">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"_Toc90393114" </w:instrText>
      </w:r>
      <w:r>
        <w:rPr>
          <w:rStyle w:val="21"/>
          <w:rFonts w:ascii="Times New Roman"/>
          <w:lang w:val="en-US"/>
        </w:rPr>
        <w:fldChar w:fldCharType="separate"/>
      </w:r>
      <w:r>
        <w:rPr>
          <w:rStyle w:val="21"/>
          <w:rFonts w:ascii="Times New Roman"/>
          <w:lang w:val="en-US"/>
        </w:rPr>
        <w:t>4.5 Interface and Connector Installation Requirements 9</w:t>
      </w:r>
      <w:r>
        <w:rPr>
          <w:rStyle w:val="21"/>
          <w:rFonts w:ascii="Times New Roman"/>
          <w:lang w:val="en-US"/>
        </w:rPr>
        <w:tab/>
      </w:r>
      <w:r>
        <w:rPr>
          <w:rStyle w:val="21"/>
          <w:rFonts w:ascii="Times New Roman"/>
          <w:lang w:val="en-US"/>
        </w:rPr>
        <w:t>12</w:t>
      </w:r>
      <w:r>
        <w:rPr>
          <w:rStyle w:val="21"/>
          <w:rFonts w:ascii="Times New Roman"/>
          <w:lang w:val="en-US"/>
        </w:rPr>
        <w:fldChar w:fldCharType="end"/>
      </w:r>
    </w:p>
    <w:p w14:paraId="42AF2924">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"_Toc90393115" </w:instrText>
      </w:r>
      <w:r>
        <w:rPr>
          <w:rStyle w:val="21"/>
          <w:rFonts w:ascii="Times New Roman"/>
          <w:lang w:val="en-US"/>
        </w:rPr>
        <w:fldChar w:fldCharType="separate"/>
      </w:r>
      <w:r>
        <w:rPr>
          <w:rStyle w:val="21"/>
          <w:rFonts w:ascii="Times New Roman"/>
          <w:lang w:val="en-US"/>
        </w:rPr>
        <w:t>4.6 Installation Precautions 9</w:t>
      </w:r>
      <w:r>
        <w:rPr>
          <w:rStyle w:val="21"/>
          <w:rFonts w:ascii="Times New Roman"/>
          <w:lang w:val="en-US"/>
        </w:rPr>
        <w:tab/>
      </w:r>
      <w:r>
        <w:rPr>
          <w:rStyle w:val="21"/>
          <w:rFonts w:ascii="Times New Roman"/>
          <w:lang w:val="en-US"/>
        </w:rPr>
        <w:t>12</w:t>
      </w:r>
      <w:r>
        <w:rPr>
          <w:rStyle w:val="21"/>
          <w:rFonts w:ascii="Times New Roman"/>
          <w:lang w:val="en-US"/>
        </w:rPr>
        <w:fldChar w:fldCharType="end"/>
      </w:r>
    </w:p>
    <w:p w14:paraId="68E9296F">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"_Toc90393116" </w:instrText>
      </w:r>
      <w:r>
        <w:rPr>
          <w:rStyle w:val="21"/>
          <w:rFonts w:ascii="Times New Roman"/>
          <w:lang w:val="en-US"/>
        </w:rPr>
        <w:fldChar w:fldCharType="separate"/>
      </w:r>
      <w:r>
        <w:rPr>
          <w:rStyle w:val="21"/>
          <w:rFonts w:ascii="Times New Roman"/>
          <w:lang w:val="en-US"/>
        </w:rPr>
        <w:t>V. Factors Affecting Accuracy 10</w:t>
      </w:r>
      <w:r>
        <w:rPr>
          <w:rStyle w:val="21"/>
          <w:rFonts w:ascii="Times New Roman"/>
          <w:lang w:val="en-US"/>
        </w:rPr>
        <w:tab/>
      </w:r>
      <w:r>
        <w:rPr>
          <w:rStyle w:val="21"/>
          <w:rFonts w:ascii="Times New Roman"/>
          <w:lang w:val="en-US"/>
        </w:rPr>
        <w:t>13</w:t>
      </w:r>
      <w:r>
        <w:rPr>
          <w:rStyle w:val="21"/>
          <w:rFonts w:ascii="Times New Roman"/>
          <w:lang w:val="en-US"/>
        </w:rPr>
        <w:fldChar w:fldCharType="end"/>
      </w:r>
    </w:p>
    <w:p w14:paraId="5B4450F9">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"_Toc90393117" </w:instrText>
      </w:r>
      <w:r>
        <w:rPr>
          <w:rStyle w:val="21"/>
          <w:rFonts w:ascii="Times New Roman"/>
          <w:lang w:val="en-US"/>
        </w:rPr>
        <w:fldChar w:fldCharType="separate"/>
      </w:r>
      <w:r>
        <w:rPr>
          <w:rStyle w:val="21"/>
          <w:rFonts w:ascii="Times New Roman"/>
          <w:lang w:val="en-US"/>
        </w:rPr>
        <w:t>VI. Troubleshooting Common Issues 10</w:t>
      </w:r>
      <w:r>
        <w:rPr>
          <w:rStyle w:val="21"/>
          <w:rFonts w:ascii="Times New Roman"/>
          <w:lang w:val="en-US"/>
        </w:rPr>
        <w:tab/>
      </w:r>
      <w:r>
        <w:rPr>
          <w:rStyle w:val="21"/>
          <w:rFonts w:ascii="Times New Roman"/>
          <w:lang w:val="en-US"/>
        </w:rPr>
        <w:t>13</w:t>
      </w:r>
      <w:r>
        <w:rPr>
          <w:rStyle w:val="21"/>
          <w:rFonts w:ascii="Times New Roman"/>
          <w:lang w:val="en-US"/>
        </w:rPr>
        <w:fldChar w:fldCharType="end"/>
      </w:r>
    </w:p>
    <w:p w14:paraId="5ED8685A">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"_Toc90393118" </w:instrText>
      </w:r>
      <w:r>
        <w:rPr>
          <w:rStyle w:val="21"/>
          <w:rFonts w:ascii="Times New Roman"/>
          <w:lang w:val="en-US"/>
        </w:rPr>
        <w:fldChar w:fldCharType="separate"/>
      </w:r>
      <w:r>
        <w:rPr>
          <w:rStyle w:val="21"/>
          <w:rFonts w:ascii="Times New Roman"/>
          <w:lang w:val="en-US"/>
        </w:rPr>
        <w:t>VII. Appendix 11</w:t>
      </w:r>
      <w:r>
        <w:rPr>
          <w:rStyle w:val="21"/>
          <w:rFonts w:ascii="Times New Roman"/>
          <w:lang w:val="en-US"/>
        </w:rPr>
        <w:tab/>
      </w:r>
      <w:r>
        <w:rPr>
          <w:rStyle w:val="21"/>
          <w:rFonts w:ascii="Times New Roman"/>
          <w:lang w:val="en-US"/>
        </w:rPr>
        <w:t>14</w:t>
      </w:r>
      <w:r>
        <w:rPr>
          <w:rStyle w:val="21"/>
          <w:rFonts w:ascii="Times New Roman"/>
          <w:lang w:val="en-US"/>
        </w:rPr>
        <w:fldChar w:fldCharType="end"/>
      </w:r>
    </w:p>
    <w:p w14:paraId="056D708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"_Toc90393119" </w:instrText>
      </w:r>
      <w:r>
        <w:rPr>
          <w:rStyle w:val="21"/>
          <w:rFonts w:ascii="Times New Roman"/>
          <w:lang w:val="en-US"/>
        </w:rPr>
        <w:fldChar w:fldCharType="separate"/>
      </w:r>
      <w:r>
        <w:rPr>
          <w:rStyle w:val="21"/>
          <w:rFonts w:ascii="Times New Roman"/>
          <w:lang w:val="en-US"/>
        </w:rPr>
        <w:t>7.1 Daily Maintenance and Care 11</w:t>
      </w:r>
      <w:r>
        <w:rPr>
          <w:rStyle w:val="21"/>
          <w:rFonts w:ascii="Times New Roman"/>
          <w:lang w:val="en-US"/>
        </w:rPr>
        <w:tab/>
      </w:r>
      <w:r>
        <w:rPr>
          <w:rStyle w:val="21"/>
          <w:rFonts w:ascii="Times New Roman"/>
          <w:lang w:val="en-US"/>
        </w:rPr>
        <w:t>14</w:t>
      </w:r>
      <w:r>
        <w:rPr>
          <w:rStyle w:val="21"/>
          <w:rFonts w:ascii="Times New Roman"/>
          <w:lang w:val="en-US"/>
        </w:rPr>
        <w:fldChar w:fldCharType="end"/>
      </w:r>
    </w:p>
    <w:p w14:paraId="540BEF79">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"_Toc90393120" </w:instrText>
      </w:r>
      <w:r>
        <w:rPr>
          <w:rStyle w:val="21"/>
          <w:rFonts w:ascii="Times New Roman"/>
          <w:lang w:val="en-US"/>
        </w:rPr>
        <w:fldChar w:fldCharType="separate"/>
      </w:r>
      <w:r>
        <w:rPr>
          <w:rStyle w:val="21"/>
          <w:rFonts w:ascii="Times New Roman"/>
          <w:lang w:val="en-US"/>
        </w:rPr>
        <w:t>7.2 Performance Parameter Table 11</w:t>
      </w:r>
      <w:r>
        <w:rPr>
          <w:rStyle w:val="21"/>
          <w:rFonts w:ascii="Times New Roman"/>
          <w:lang w:val="en-US"/>
        </w:rPr>
        <w:tab/>
      </w:r>
      <w:r>
        <w:rPr>
          <w:rStyle w:val="21"/>
          <w:rFonts w:ascii="Times New Roman"/>
          <w:lang w:val="en-US"/>
        </w:rPr>
        <w:t>14</w:t>
      </w:r>
      <w:r>
        <w:rPr>
          <w:rStyle w:val="21"/>
          <w:rFonts w:ascii="Times New Roman"/>
          <w:lang w:val="en-US"/>
        </w:rPr>
        <w:fldChar w:fldCharType="end"/>
      </w:r>
    </w:p>
    <w:p w14:paraId="4F96F375">
      <w:r>
        <w:fldChar w:fldCharType="end"/>
      </w:r>
    </w:p>
    <w:p w14:paraId="1A591B89">
      <w:pPr>
        <w:rPr>
          <w:rFonts w:hint="eastAsia"/>
        </w:rPr>
        <w:sectPr>
          <w:headerReference r:id="rId3" w:type="default"/>
          <w:footerReference r:id="rId4" w:type="even"/>
          <w:pgSz w:w="10319" w:h="14572"/>
          <w:pgMar w:top="1474" w:right="1474" w:bottom="1474" w:left="1701" w:header="851" w:footer="992" w:gutter="0"/>
          <w:pgNumType w:start="1"/>
          <w:cols w:space="720" w:num="1"/>
          <w:titlePg/>
          <w:docGrid w:type="lines" w:linePitch="312" w:charSpace="0"/>
        </w:sectPr>
      </w:pPr>
    </w:p>
    <w:p w14:paraId="559A6119">
      <w:pPr>
        <w:pStyle w:val="2"/>
        <w:spacing w:before="240" w:after="240" w:line="240" w:lineRule="auto"/>
        <w:jc w:val="left"/>
        <w:rPr>
          <w:rFonts w:hint="default" w:ascii="宋体" w:hAnsi="宋体" w:cs="黑体"/>
          <w:b w:val="0"/>
          <w:bCs w:val="0"/>
          <w:sz w:val="32"/>
          <w:szCs w:val="32"/>
          <w:lang w:val="en-US"/>
        </w:rPr>
      </w:pPr>
      <w:bookmarkStart w:id="0" w:name="_Toc90393091"/>
      <w:bookmarkStart w:id="1" w:name="_Toc90392200"/>
      <w:r>
        <w:rPr>
          <w:rFonts w:hint="default" w:ascii="Times New Roman" w:hAnsi="宋体" w:eastAsia="宋体" w:cs="Times New Roman"/>
          <w:b/>
          <w:bCs/>
          <w:kern w:val="44"/>
          <w:sz w:val="44"/>
          <w:szCs w:val="44"/>
          <w:lang w:val="en-US" w:eastAsia="zh-CN" w:bidi="ar-SA"/>
        </w:rPr>
        <w:t>1. Essential Reading for Users</w:t>
      </w:r>
      <w:bookmarkEnd w:id="0"/>
      <w:bookmarkEnd w:id="1"/>
    </w:p>
    <w:p w14:paraId="13CCD787">
      <w:pPr>
        <w:ind w:firstLine="480" w:firstLineChars="200"/>
        <w:rPr>
          <w:rFonts w:hint="default" w:ascii="宋体" w:hAnsi="宋体" w:cs="宋体"/>
          <w:sz w:val="24"/>
          <w:szCs w:val="24"/>
          <w:lang w:val="en-US"/>
        </w:rPr>
      </w:pPr>
      <w:r>
        <w:rPr>
          <w:rFonts w:hint="default" w:ascii="Times New Roman" w:hAnsi="宋体" w:eastAsia="宋体" w:cs="宋体"/>
          <w:kern w:val="2"/>
          <w:sz w:val="24"/>
          <w:szCs w:val="24"/>
          <w:lang w:val="en-US" w:eastAsia="zh-CN" w:bidi="ar-SA"/>
        </w:rPr>
        <w:t>This instrument has been calibrated prior to shipment.</w:t>
      </w:r>
    </w:p>
    <w:p w14:paraId="1B2F1650">
      <w:pPr>
        <w:pStyle w:val="4"/>
        <w:spacing w:before="240" w:after="240" w:line="240" w:lineRule="auto"/>
        <w:rPr>
          <w:rFonts w:hint="default" w:ascii="宋体" w:hAnsi="宋体"/>
          <w:lang w:val="en-US"/>
        </w:rPr>
      </w:pPr>
      <w:bookmarkStart w:id="2" w:name="_Toc422918615"/>
      <w:bookmarkStart w:id="3" w:name="_Toc422909509"/>
      <w:bookmarkStart w:id="4" w:name="_Toc90393092"/>
      <w:r>
        <w:rPr>
          <w:rFonts w:hint="default" w:ascii="Times New Roman" w:hAnsi="宋体" w:eastAsia="宋体" w:cs="Times New Roman"/>
          <w:b/>
          <w:bCs/>
          <w:kern w:val="2"/>
          <w:sz w:val="32"/>
          <w:szCs w:val="32"/>
          <w:lang w:val="en-US" w:eastAsia="zh-CN" w:bidi="ar-SA"/>
        </w:rPr>
        <w:t xml:space="preserve">1.1 </w:t>
      </w:r>
      <w:bookmarkEnd w:id="2"/>
      <w:bookmarkEnd w:id="3"/>
      <w:r>
        <w:rPr>
          <w:rFonts w:hint="default" w:ascii="Times New Roman" w:hAnsi="宋体" w:eastAsia="宋体" w:cs="Times New Roman"/>
          <w:b/>
          <w:bCs/>
          <w:kern w:val="2"/>
          <w:sz w:val="32"/>
          <w:szCs w:val="32"/>
          <w:lang w:val="en-US" w:eastAsia="zh-CN" w:bidi="ar-SA"/>
        </w:rPr>
        <w:t>User</w:t>
      </w:r>
      <w:bookmarkEnd w:id="4"/>
      <w:r>
        <w:rPr>
          <w:rFonts w:hint="default" w:ascii="Times New Roman" w:hAnsi="宋体" w:eastAsia="宋体" w:cs="Times New Roman"/>
          <w:b/>
          <w:bCs/>
          <w:kern w:val="2"/>
          <w:sz w:val="32"/>
          <w:szCs w:val="32"/>
          <w:lang w:val="en-US" w:eastAsia="zh-CN" w:bidi="ar-SA"/>
        </w:rPr>
        <w:t xml:space="preserve"> Guidelines</w:t>
      </w:r>
    </w:p>
    <w:p w14:paraId="5462FEDA">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Welcome to the G6000B open-circuit laser gas telemetry system (hereinafter referred to as the Telemetry System). Before using this product, please carefully read this manual. It contains essential operational information and technical specifications that users must strictly follow to ensure proper system operation. The provided guidance will also assist users in correctly operating the device and obtaining accurate analytical results.</w:t>
      </w:r>
    </w:p>
    <w:p w14:paraId="5DEB6D52">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This manual provides comprehensive guidance on the proper use of telemetry instruments. It serves as an accurate reference for technicians who have received professional training or possess relevant knowledge in instrument operation and control. Before operating the instruments, ensure you fully understand the safety instructions and warnings outlined in this manual and apply them during practical operations. Due to various limitations, this manual cannot provide detailed descriptions for every scenario. If users require further information or need assistance with issues not covered herein, please contact Henan Outewell Electronic Technology Co., Ltd. at 400-811-8873 for support.</w:t>
      </w:r>
    </w:p>
    <w:p w14:paraId="4AFB09D6">
      <w:pPr>
        <w:pStyle w:val="4"/>
        <w:spacing w:before="240" w:after="240" w:line="240" w:lineRule="auto"/>
        <w:rPr>
          <w:rFonts w:hint="default" w:ascii="宋体" w:hAnsi="宋体"/>
          <w:lang w:val="en-US"/>
        </w:rPr>
      </w:pPr>
      <w:bookmarkStart w:id="5" w:name="_Toc90393093"/>
      <w:r>
        <w:rPr>
          <w:rFonts w:hint="default" w:ascii="Times New Roman" w:hAnsi="宋体" w:eastAsia="宋体" w:cs="Times New Roman"/>
          <w:b/>
          <w:bCs/>
          <w:kern w:val="2"/>
          <w:sz w:val="32"/>
          <w:szCs w:val="32"/>
          <w:lang w:val="en-US" w:eastAsia="zh-CN" w:bidi="ar-SA"/>
        </w:rPr>
        <w:t>1.2 Quality Assurance and Exemption Clauses</w:t>
      </w:r>
      <w:bookmarkEnd w:id="5"/>
    </w:p>
    <w:p w14:paraId="0690B96B">
      <w:pPr>
        <w:ind w:firstLine="420"/>
        <w:rPr>
          <w:rFonts w:hint="default" w:ascii="宋体" w:hAnsi="宋体" w:cs="宋体"/>
          <w:szCs w:val="21"/>
          <w:lang w:val="en-US"/>
        </w:rPr>
      </w:pPr>
      <w:r>
        <w:rPr>
          <w:rFonts w:hint="default" w:ascii="Times New Roman" w:hAnsi="宋体" w:eastAsia="宋体" w:cs="宋体"/>
          <w:kern w:val="2"/>
          <w:sz w:val="21"/>
          <w:szCs w:val="21"/>
          <w:lang w:val="en-US" w:eastAsia="zh-CN" w:bidi="ar-SA"/>
        </w:rPr>
        <w:t>By choosing Outeiwei, you are selecting high-quality products. All products from our company are eligible for free repairs during the warranty period; after the warranty period, corresponding component replacement fees will be charged. If you encounter any issues during use, please contact us for prompt assistance. The entire instrument is covered by a one-year warranty.</w:t>
      </w:r>
    </w:p>
    <w:p w14:paraId="0C6F46A9">
      <w:pPr>
        <w:jc w:val="left"/>
        <w:rPr>
          <w:rFonts w:hint="default" w:ascii="宋体" w:hAnsi="宋体"/>
          <w:lang w:val="en-US"/>
        </w:rPr>
      </w:pPr>
      <w:r>
        <w:rPr>
          <w:rFonts w:hint="default" w:ascii="Times New Roman" w:hAnsi="宋体" w:eastAsia="宋体" w:cs="Times New Roman"/>
          <w:kern w:val="2"/>
          <w:sz w:val="21"/>
          <w:szCs w:val="22"/>
          <w:lang w:val="en-US" w:eastAsia="zh-CN" w:bidi="ar-SA"/>
        </w:rPr>
        <w:t>Any repairs beyond the warranty period or those occurring during the warranty period that involve the following faults shall be considered out-of-warranty repairs, for which no free warranty service will be provided. Outeiwell reserves the right to charge any on-site maintenance fees. These faults include, but are not limited to:</w:t>
      </w:r>
    </w:p>
    <w:p w14:paraId="73B55335">
      <w:pPr>
        <w:jc w:val="left"/>
        <w:rPr>
          <w:rFonts w:hint="default" w:ascii="宋体" w:hAnsi="宋体"/>
          <w:lang w:val="en-US"/>
        </w:rPr>
      </w:pPr>
      <w:r>
        <w:rPr>
          <w:rFonts w:hint="default" w:ascii="Times New Roman" w:hAnsi="宋体" w:eastAsia="宋体" w:cs="Times New Roman"/>
          <w:kern w:val="2"/>
          <w:sz w:val="21"/>
          <w:szCs w:val="22"/>
          <w:lang w:val="en-US" w:eastAsia="zh-CN" w:bidi="ar-SA"/>
        </w:rPr>
        <w:t>1) Due to improper use (internal water ingress, corrosion, fire, or electrical interference from high-voltage circuits);</w:t>
      </w:r>
    </w:p>
    <w:p w14:paraId="162B5160">
      <w:pPr>
        <w:jc w:val="left"/>
        <w:rPr>
          <w:rFonts w:hint="default" w:ascii="宋体" w:hAnsi="宋体"/>
          <w:lang w:val="en-US"/>
        </w:rPr>
      </w:pPr>
      <w:r>
        <w:rPr>
          <w:rFonts w:hint="default" w:ascii="Times New Roman" w:hAnsi="宋体" w:eastAsia="宋体" w:cs="Times New Roman"/>
          <w:kern w:val="2"/>
          <w:sz w:val="21"/>
          <w:szCs w:val="22"/>
          <w:lang w:val="en-US" w:eastAsia="zh-CN" w:bidi="ar-SA"/>
        </w:rPr>
        <w:t>2) Force majeure (damage caused by earthquakes, lightning strikes, floods, etc.);</w:t>
      </w:r>
    </w:p>
    <w:p w14:paraId="2CAF1081">
      <w:pPr>
        <w:jc w:val="left"/>
        <w:rPr>
          <w:rFonts w:hint="default" w:ascii="宋体" w:hAnsi="宋体"/>
          <w:lang w:val="en-US"/>
        </w:rPr>
      </w:pPr>
      <w:r>
        <w:rPr>
          <w:rFonts w:hint="default" w:ascii="Times New Roman" w:hAnsi="宋体" w:eastAsia="宋体" w:cs="Times New Roman"/>
          <w:kern w:val="2"/>
          <w:sz w:val="21"/>
          <w:szCs w:val="22"/>
          <w:lang w:val="en-US" w:eastAsia="zh-CN" w:bidi="ar-SA"/>
        </w:rPr>
        <w:t>3) Unauthorized modification of product internals without permission;</w:t>
      </w:r>
    </w:p>
    <w:p w14:paraId="55217DE3">
      <w:pPr>
        <w:jc w:val="left"/>
        <w:rPr>
          <w:rFonts w:hint="default" w:ascii="宋体" w:hAnsi="宋体"/>
          <w:lang w:val="en-US"/>
        </w:rPr>
      </w:pPr>
      <w:r>
        <w:rPr>
          <w:rFonts w:hint="default" w:ascii="Times New Roman" w:hAnsi="宋体" w:eastAsia="宋体" w:cs="Times New Roman"/>
          <w:kern w:val="2"/>
          <w:sz w:val="21"/>
          <w:szCs w:val="22"/>
          <w:lang w:val="en-US" w:eastAsia="zh-CN" w:bidi="ar-SA"/>
        </w:rPr>
        <w:t>4) Failure to use the product in accordance with the user manual and training regulations, resulting in product damage;</w:t>
      </w:r>
    </w:p>
    <w:p w14:paraId="4A31BEB7">
      <w:pPr>
        <w:rPr>
          <w:rFonts w:hint="default" w:ascii="宋体" w:hAnsi="宋体"/>
          <w:lang w:val="en-US"/>
        </w:rPr>
      </w:pPr>
      <w:r>
        <w:rPr>
          <w:rFonts w:hint="default" w:ascii="Times New Roman" w:hAnsi="宋体" w:eastAsia="宋体" w:cs="Times New Roman"/>
          <w:kern w:val="2"/>
          <w:sz w:val="21"/>
          <w:szCs w:val="22"/>
          <w:lang w:val="en-US" w:eastAsia="zh-CN" w:bidi="ar-SA"/>
        </w:rPr>
        <w:t>This manual only covers instruments and components sold to buyers by authorized suppliers, distributors, and representatives of Otover.</w:t>
      </w:r>
    </w:p>
    <w:p w14:paraId="4EDD0752">
      <w:pPr>
        <w:rPr>
          <w:rFonts w:hint="eastAsia" w:ascii="宋体" w:hAnsi="宋体"/>
        </w:rPr>
      </w:pPr>
    </w:p>
    <w:p w14:paraId="308F9B41">
      <w:pPr>
        <w:pStyle w:val="4"/>
        <w:spacing w:before="240" w:after="240" w:line="240" w:lineRule="auto"/>
        <w:rPr>
          <w:rFonts w:hint="default" w:ascii="宋体" w:hAnsi="宋体"/>
          <w:lang w:val="en-US"/>
        </w:rPr>
      </w:pPr>
      <w:bookmarkStart w:id="6" w:name="_Toc90393094"/>
      <w:bookmarkStart w:id="7" w:name="_Toc422918616"/>
      <w:bookmarkStart w:id="8" w:name="_Toc422909510"/>
      <w:r>
        <w:rPr>
          <w:rFonts w:hint="default" w:ascii="Times New Roman" w:hAnsi="宋体" w:eastAsia="宋体" w:cs="Times New Roman"/>
          <w:b/>
          <w:bCs/>
          <w:kern w:val="2"/>
          <w:sz w:val="32"/>
          <w:szCs w:val="32"/>
          <w:lang w:val="en-US" w:eastAsia="zh-CN" w:bidi="ar-SA"/>
        </w:rPr>
        <w:t>1.3 Standards followed by this product</w:t>
      </w:r>
      <w:bookmarkEnd w:id="6"/>
      <w:bookmarkEnd w:id="7"/>
      <w:bookmarkEnd w:id="8"/>
    </w:p>
    <w:p w14:paraId="0C67DC20">
      <w:pPr>
        <w:rPr>
          <w:rFonts w:hint="default" w:ascii="宋体" w:hAnsi="宋体" w:cs="宋体"/>
          <w:lang w:val="en-US"/>
        </w:rPr>
      </w:pPr>
      <w:r>
        <w:rPr>
          <w:rFonts w:hint="default" w:ascii="Times New Roman" w:hAnsi="宋体" w:eastAsia="宋体" w:cs="宋体"/>
          <w:kern w:val="2"/>
          <w:sz w:val="21"/>
          <w:szCs w:val="22"/>
          <w:lang w:val="en-US" w:eastAsia="zh-CN" w:bidi="ar-SA"/>
        </w:rPr>
        <w:t>GB 3836.1-2010 Explosive Atmospheres Part 1: Equipment General Requirements</w:t>
      </w:r>
    </w:p>
    <w:p w14:paraId="33875611">
      <w:pPr>
        <w:rPr>
          <w:rFonts w:hint="default" w:ascii="宋体" w:hAnsi="宋体" w:cs="宋体"/>
          <w:lang w:val="en-US"/>
        </w:rPr>
      </w:pPr>
      <w:r>
        <w:rPr>
          <w:rFonts w:hint="default" w:ascii="Times New Roman" w:hAnsi="宋体" w:eastAsia="宋体" w:cs="宋体"/>
          <w:kern w:val="2"/>
          <w:sz w:val="21"/>
          <w:szCs w:val="22"/>
          <w:lang w:val="en-US" w:eastAsia="zh-CN" w:bidi="ar-SA"/>
        </w:rPr>
        <w:t>GB 3836.2-2010 Explosive Atmospheres Part 2: Equipment protected by flameproof enclosure'd'</w:t>
      </w:r>
    </w:p>
    <w:p w14:paraId="60364F3B">
      <w:pPr>
        <w:ind w:firstLine="210" w:firstLineChars="100"/>
        <w:rPr>
          <w:rFonts w:hint="default" w:ascii="宋体" w:hAnsi="宋体" w:cs="宋体"/>
          <w:lang w:val="en-US"/>
        </w:rPr>
      </w:pPr>
      <w:r>
        <w:rPr>
          <w:rFonts w:hint="default" w:ascii="Times New Roman" w:hAnsi="宋体" w:eastAsia="宋体" w:cs="宋体"/>
          <w:bCs/>
          <w:kern w:val="2"/>
          <w:sz w:val="21"/>
          <w:szCs w:val="22"/>
          <w:lang w:val="en-US" w:eastAsia="zh-CN" w:bidi="ar-SA"/>
        </w:rPr>
        <w:t>IEC60079-28:2006 Explosive environments Part 28: Protective measures for optical radiation equipment and transmission systems</w:t>
      </w:r>
    </w:p>
    <w:p w14:paraId="62D19512">
      <w:pPr>
        <w:rPr>
          <w:rFonts w:hint="default" w:ascii="宋体" w:hAnsi="宋体" w:cs="宋体"/>
          <w:lang w:val="en-US"/>
        </w:rPr>
      </w:pPr>
      <w:r>
        <w:rPr>
          <w:rFonts w:hint="default" w:ascii="Times New Roman" w:hAnsi="宋体" w:eastAsia="宋体" w:cs="宋体"/>
          <w:kern w:val="2"/>
          <w:sz w:val="21"/>
          <w:szCs w:val="22"/>
          <w:lang w:val="en-US" w:eastAsia="zh-CN" w:bidi="ar-SA"/>
        </w:rPr>
        <w:t xml:space="preserve">  </w:t>
      </w:r>
    </w:p>
    <w:p w14:paraId="5B314381">
      <w:pPr>
        <w:pStyle w:val="4"/>
        <w:spacing w:before="240" w:after="240" w:line="240" w:lineRule="auto"/>
        <w:rPr>
          <w:rFonts w:hint="default" w:ascii="宋体" w:hAnsi="宋体"/>
          <w:lang w:val="en-US"/>
        </w:rPr>
      </w:pPr>
      <w:bookmarkStart w:id="9" w:name="_Toc90393095"/>
      <w:r>
        <w:rPr>
          <w:rFonts w:hint="default" w:ascii="Times New Roman" w:hAnsi="宋体" w:eastAsia="宋体" w:cs="Times New Roman"/>
          <w:b/>
          <w:bCs/>
          <w:kern w:val="2"/>
          <w:sz w:val="32"/>
          <w:szCs w:val="32"/>
          <w:lang w:val="en-US" w:eastAsia="zh-CN" w:bidi="ar-SA"/>
        </w:rPr>
        <w:t>1.4 Safety Precautions</w:t>
      </w:r>
      <w:bookmarkEnd w:id="9"/>
    </w:p>
    <w:p w14:paraId="2106DC37">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Before using this instrument, please ensure that you have read and understood the safety precautions described below.</w:t>
      </w:r>
    </w:p>
    <w:p w14:paraId="05D00E87">
      <w:pPr>
        <w:pStyle w:val="4"/>
        <w:spacing w:before="240" w:after="240" w:line="240" w:lineRule="auto"/>
        <w:rPr>
          <w:rFonts w:hint="default" w:ascii="宋体" w:hAnsi="宋体"/>
          <w:lang w:val="en-US"/>
        </w:rPr>
      </w:pPr>
      <w:bookmarkStart w:id="10" w:name="_Toc422909511"/>
      <w:bookmarkStart w:id="11" w:name="_Toc90393096"/>
      <w:r>
        <w:rPr>
          <w:rFonts w:hint="default" w:ascii="Times New Roman" w:hAnsi="宋体" w:eastAsia="宋体" w:cs="Times New Roman"/>
          <w:b/>
          <w:bCs/>
          <w:kern w:val="2"/>
          <w:sz w:val="28"/>
          <w:szCs w:val="32"/>
          <w:lang w:val="en-US" w:eastAsia="zh-CN" w:bidi="ar-SA"/>
        </w:rPr>
        <w:t>1.4.1 Precautions for Safe Operation of Instruments</w:t>
      </w:r>
      <w:bookmarkEnd w:id="10"/>
      <w:bookmarkEnd w:id="11"/>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28"/>
      </w:tblGrid>
      <w:tr w14:paraId="6030A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128" w:type="dxa"/>
            <w:noWrap w:val="0"/>
            <w:vAlign w:val="top"/>
          </w:tcPr>
          <w:p w14:paraId="3582FA21">
            <w:pPr>
              <w:ind w:firstLine="422" w:firstLineChars="200"/>
              <w:rPr>
                <w:rFonts w:hint="eastAsia" w:ascii="宋体" w:hAnsi="宋体" w:cs="宋体"/>
                <w:b/>
                <w:color w:val="FF0000"/>
              </w:rPr>
            </w:pPr>
          </w:p>
          <w:p w14:paraId="37A102C2">
            <w:pPr>
              <w:ind w:firstLine="422" w:firstLineChars="200"/>
              <w:rPr>
                <w:rFonts w:hint="default" w:ascii="宋体" w:hAnsi="宋体" w:cs="宋体"/>
                <w:b/>
                <w:lang w:val="en-US"/>
              </w:rPr>
            </w:pPr>
            <w:r>
              <w:rPr>
                <w:rFonts w:hint="default" w:ascii="Times New Roman" w:hAnsi="宋体" w:eastAsia="宋体" w:cs="宋体"/>
                <w:b/>
                <w:kern w:val="2"/>
                <w:sz w:val="21"/>
                <w:szCs w:val="22"/>
                <w:lang w:val="en-US" w:eastAsia="zh-CN" w:bidi="ar-SA"/>
              </w:rPr>
              <w:t>warn ：</w:t>
            </w:r>
          </w:p>
          <w:p w14:paraId="18DE5AD3">
            <w:pPr>
              <w:ind w:left="420"/>
              <w:rPr>
                <w:rFonts w:hint="default" w:ascii="宋体" w:hAnsi="宋体" w:cs="宋体"/>
                <w:lang w:val="en-US"/>
              </w:rPr>
            </w:pPr>
            <w:r>
              <w:rPr>
                <w:rFonts w:hint="default" w:ascii="Times New Roman" w:hAnsi="宋体" w:eastAsia="宋体" w:cs="宋体"/>
                <w:kern w:val="2"/>
                <w:sz w:val="21"/>
                <w:szCs w:val="22"/>
                <w:lang w:val="en-US" w:eastAsia="zh-CN" w:bidi="ar-SA"/>
              </w:rPr>
              <w:t>1. The instrument must be protected from radiation of high-temperature heat sources, as excessively high or low temperatures may adversely affect the performance and lifespan of the sensor.</w:t>
            </w:r>
          </w:p>
          <w:p w14:paraId="1F99DEEE">
            <w:pPr>
              <w:ind w:left="420"/>
              <w:rPr>
                <w:rFonts w:hint="default" w:ascii="宋体" w:hAnsi="宋体" w:cs="宋体"/>
                <w:lang w:val="en-US"/>
              </w:rPr>
            </w:pPr>
            <w:r>
              <w:rPr>
                <w:rFonts w:hint="default" w:ascii="Times New Roman" w:hAnsi="宋体" w:eastAsia="宋体" w:cs="宋体"/>
                <w:kern w:val="2"/>
                <w:sz w:val="21"/>
                <w:szCs w:val="22"/>
                <w:lang w:val="en-US" w:eastAsia="zh-CN" w:bidi="ar-SA"/>
              </w:rPr>
              <w:t>2. Avoid prolonged staring at the laser emitter to prevent eye burns.</w:t>
            </w:r>
          </w:p>
          <w:p w14:paraId="40685F0B">
            <w:pPr>
              <w:ind w:left="420"/>
              <w:rPr>
                <w:rFonts w:hint="default" w:ascii="宋体" w:hAnsi="宋体" w:cs="宋体"/>
                <w:lang w:val="en-US"/>
              </w:rPr>
            </w:pPr>
            <w:r>
              <w:rPr>
                <w:rFonts w:hint="default" w:ascii="Times New Roman" w:hAnsi="宋体" w:eastAsia="宋体" w:cs="宋体"/>
                <w:kern w:val="2"/>
                <w:sz w:val="21"/>
                <w:szCs w:val="22"/>
                <w:lang w:val="en-US" w:eastAsia="zh-CN" w:bidi="ar-SA"/>
              </w:rPr>
              <w:t>3. The instrument has a metal casing. Do not touch it when powered on to avoid electric shock.</w:t>
            </w:r>
          </w:p>
          <w:p w14:paraId="5DFA7B2C">
            <w:pPr>
              <w:ind w:left="420"/>
              <w:rPr>
                <w:rFonts w:hint="eastAsia" w:ascii="宋体" w:hAnsi="宋体" w:cs="宋体"/>
              </w:rPr>
            </w:pPr>
          </w:p>
        </w:tc>
      </w:tr>
    </w:tbl>
    <w:p w14:paraId="192C1EB9">
      <w:pPr>
        <w:pStyle w:val="4"/>
        <w:spacing w:before="240" w:after="240" w:line="240" w:lineRule="auto"/>
        <w:rPr>
          <w:rFonts w:hint="default" w:ascii="宋体" w:hAnsi="宋体"/>
          <w:sz w:val="28"/>
          <w:lang w:val="en-US"/>
        </w:rPr>
      </w:pPr>
      <w:bookmarkStart w:id="12" w:name="_Toc422909513"/>
      <w:bookmarkStart w:id="13" w:name="_Toc90393097"/>
      <w:r>
        <w:rPr>
          <w:rFonts w:hint="default" w:ascii="Times New Roman" w:hAnsi="宋体" w:eastAsia="宋体" w:cs="Times New Roman"/>
          <w:b/>
          <w:bCs/>
          <w:kern w:val="2"/>
          <w:sz w:val="28"/>
          <w:szCs w:val="32"/>
          <w:lang w:val="en-US" w:eastAsia="zh-CN" w:bidi="ar-SA"/>
        </w:rPr>
        <w:t>1.4.2 Other Safety Precautions</w:t>
      </w:r>
      <w:bookmarkEnd w:id="12"/>
      <w:bookmarkEnd w:id="13"/>
    </w:p>
    <w:p w14:paraId="663A313A">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1) This instrument is classified as precision equipment. Do not attempt to disassemble, modify, or alter the device. If the instrument fails to operate normally or exhibits malfunctions, please contact us.</w:t>
      </w:r>
    </w:p>
    <w:p w14:paraId="2EB8BEBA">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2) If the instrument is accidentally damaged, immediately cease operation, shut down the device after confirming environmental safety, disconnect the power supply, and contact us.</w:t>
      </w:r>
    </w:p>
    <w:p w14:paraId="2D14B415">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3) Do not use benzene, diluents, or gaseous solvents to clean the instrument housing or lenses;</w:t>
      </w:r>
    </w:p>
    <w:p w14:paraId="40E7C47D">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4) Output method: For 4-20mA outputs connected to safety zones, a safety barrier must be added to prevent external energy input before connecting to other devices; however, this is not required when connecting to intrinsically safe equipment.</w:t>
      </w:r>
    </w:p>
    <w:p w14:paraId="0E3AC82D">
      <w:pPr>
        <w:ind w:firstLine="420" w:firstLineChars="200"/>
        <w:rPr>
          <w:rFonts w:hint="eastAsia" w:ascii="宋体" w:hAnsi="宋体" w:cs="宋体"/>
          <w:szCs w:val="21"/>
        </w:rPr>
      </w:pPr>
    </w:p>
    <w:p w14:paraId="3056051B">
      <w:pPr>
        <w:pStyle w:val="4"/>
        <w:spacing w:before="240" w:after="240" w:line="240" w:lineRule="auto"/>
        <w:rPr>
          <w:rFonts w:hint="default" w:ascii="宋体" w:hAnsi="宋体"/>
          <w:lang w:val="en-US"/>
        </w:rPr>
      </w:pPr>
      <w:bookmarkStart w:id="14" w:name="_Toc422918617"/>
      <w:bookmarkStart w:id="15" w:name="_Toc422909514"/>
      <w:bookmarkStart w:id="16" w:name="_Toc90393098"/>
      <w:r>
        <w:rPr>
          <w:rFonts w:hint="default" w:ascii="Times New Roman" w:hAnsi="宋体" w:eastAsia="宋体" w:cs="Times New Roman"/>
          <w:b/>
          <w:bCs/>
          <w:kern w:val="2"/>
          <w:sz w:val="32"/>
          <w:szCs w:val="32"/>
          <w:lang w:val="en-US" w:eastAsia="zh-CN" w:bidi="ar-SA"/>
        </w:rPr>
        <w:t>1.5 Avoid using faulty equipment</w:t>
      </w:r>
      <w:bookmarkEnd w:id="14"/>
      <w:bookmarkEnd w:id="15"/>
      <w:bookmarkEnd w:id="16"/>
    </w:p>
    <w:p w14:paraId="755224D2">
      <w:pPr>
        <w:ind w:firstLine="420" w:firstLineChars="200"/>
        <w:rPr>
          <w:rFonts w:hint="default" w:ascii="宋体" w:hAnsi="宋体" w:cs="仿宋"/>
          <w:lang w:val="en-US"/>
        </w:rPr>
      </w:pPr>
      <w:r>
        <w:rPr>
          <w:rFonts w:hint="default" w:ascii="Times New Roman" w:hAnsi="宋体" w:eastAsia="宋体" w:cs="宋体"/>
          <w:kern w:val="2"/>
          <w:sz w:val="21"/>
          <w:szCs w:val="21"/>
          <w:lang w:val="en-US" w:eastAsia="zh-CN" w:bidi="ar-SA"/>
        </w:rPr>
        <w:t>To minimize the risk of failures, read the following carefully.</w:t>
      </w:r>
    </w:p>
    <w:p w14:paraId="4A4E967F">
      <w:pPr>
        <w:ind w:firstLine="420"/>
        <w:rPr>
          <w:rFonts w:hint="default"/>
          <w:lang w:val="en-US"/>
        </w:rPr>
      </w:pPr>
      <w:bookmarkStart w:id="17" w:name="_Toc422909516"/>
      <w:r>
        <w:rPr>
          <w:rFonts w:hint="default" w:ascii="Times New Roman" w:hAnsi="Calibri" w:eastAsia="宋体" w:cs="Times New Roman"/>
          <w:kern w:val="2"/>
          <w:sz w:val="21"/>
          <w:szCs w:val="22"/>
          <w:lang w:val="en-US" w:eastAsia="zh-CN" w:bidi="ar-SA"/>
        </w:rPr>
        <w:t>When using the instrument du</w:t>
      </w:r>
      <w:bookmarkEnd w:id="17"/>
      <w:r>
        <w:rPr>
          <w:rFonts w:hint="default" w:ascii="Times New Roman" w:hAnsi="Calibri" w:eastAsia="宋体" w:cs="Times New Roman"/>
          <w:kern w:val="2"/>
          <w:sz w:val="21"/>
          <w:szCs w:val="22"/>
          <w:lang w:val="en-US" w:eastAsia="zh-CN" w:bidi="ar-SA"/>
        </w:rPr>
        <w:t>ring humid weather conditions such as rain or snow, or during hazy weather with high dust concentrations, the following precautions should be observed:</w:t>
      </w:r>
    </w:p>
    <w:p w14:paraId="3A57D2CB">
      <w:pPr>
        <w:ind w:firstLine="420" w:firstLineChars="200"/>
        <w:rPr>
          <w:rFonts w:hint="default" w:ascii="宋体" w:hAnsi="宋体" w:cs="宋体"/>
          <w:lang w:val="en-US"/>
        </w:rPr>
      </w:pPr>
      <w:r>
        <w:rPr>
          <w:rFonts w:hint="default" w:ascii="Times New Roman" w:hAnsi="宋体" w:eastAsia="宋体" w:cs="宋体"/>
          <w:kern w:val="2"/>
          <w:sz w:val="21"/>
          <w:szCs w:val="22"/>
          <w:lang w:val="en-US" w:eastAsia="zh-CN" w:bidi="ar-SA"/>
        </w:rPr>
        <w:t>This instrument is designed to prevent vertically falling water droplets from entering its interior. For humid weather conditions such as rain or snow, as well as smoggy environments with high dust concentrations, the following precautions and specific solutions should be noted:</w:t>
      </w:r>
    </w:p>
    <w:p w14:paraId="71FFB192">
      <w:pPr>
        <w:rPr>
          <w:rFonts w:hint="default" w:ascii="宋体" w:hAnsi="宋体" w:cs="宋体"/>
          <w:lang w:val="en-US"/>
        </w:rPr>
      </w:pPr>
      <w:r>
        <w:rPr>
          <w:rFonts w:hint="default" w:ascii="Times New Roman" w:hAnsi="宋体" w:eastAsia="宋体" w:cs="宋体"/>
          <w:kern w:val="2"/>
          <w:sz w:val="21"/>
          <w:szCs w:val="22"/>
          <w:lang w:val="en-US" w:eastAsia="zh-CN" w:bidi="ar-SA"/>
        </w:rPr>
        <w:t>1) The glass lenses of the product's receiving and transmitting device are prone to water droplet adhesion during humid weather conditions such as rain or snow, which may interfere with signal reception and signal strength, thereby affecting normal operation. The adhered water droplets should be gently wiped off with a cotton cloth (as shown in the figure below).</w:t>
      </w:r>
    </w:p>
    <w:p w14:paraId="4EA01312">
      <w:pPr>
        <w:jc w:val="center"/>
        <w:rPr>
          <w:rFonts w:hint="eastAsia" w:ascii="宋体" w:hAnsi="宋体" w:cs="仿宋"/>
        </w:rPr>
      </w:pPr>
      <w:r>
        <w:rPr>
          <w:rFonts w:hint="eastAsia" w:ascii="宋体" w:hAnsi="宋体" w:cs="仿宋"/>
        </w:rPr>
        <w:drawing>
          <wp:inline distT="0" distB="0" distL="114300" distR="114300">
            <wp:extent cx="1431290" cy="1543050"/>
            <wp:effectExtent l="0" t="0" r="16510"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rcRect t="10326" b="7939"/>
                    <a:stretch>
                      <a:fillRect/>
                    </a:stretch>
                  </pic:blipFill>
                  <pic:spPr>
                    <a:xfrm>
                      <a:off x="0" y="0"/>
                      <a:ext cx="1431290" cy="1543050"/>
                    </a:xfrm>
                    <a:prstGeom prst="rect">
                      <a:avLst/>
                    </a:prstGeom>
                    <a:noFill/>
                    <a:ln>
                      <a:noFill/>
                    </a:ln>
                  </pic:spPr>
                </pic:pic>
              </a:graphicData>
            </a:graphic>
          </wp:inline>
        </w:drawing>
      </w:r>
    </w:p>
    <w:p w14:paraId="12A4ABC8">
      <w:pPr>
        <w:rPr>
          <w:rFonts w:hint="default" w:ascii="宋体" w:hAnsi="宋体" w:cs="宋体"/>
          <w:lang w:val="en-US"/>
        </w:rPr>
      </w:pPr>
      <w:r>
        <w:rPr>
          <w:rFonts w:hint="default" w:ascii="Times New Roman" w:hAnsi="宋体" w:eastAsia="宋体" w:cs="宋体"/>
          <w:kern w:val="2"/>
          <w:sz w:val="21"/>
          <w:szCs w:val="22"/>
          <w:lang w:val="en-US" w:eastAsia="zh-CN" w:bidi="ar-SA"/>
        </w:rPr>
        <w:t>2) The product's receiving device is prone to water droplet adhesion during humid weather conditions such as rain or snow. It should be gently wiped with a soft cloth to avoid affecting the normal functionality of the product.</w:t>
      </w:r>
    </w:p>
    <w:p w14:paraId="36F84C6E">
      <w:pPr>
        <w:ind w:firstLine="420"/>
        <w:rPr>
          <w:rFonts w:hint="default" w:ascii="宋体" w:hAnsi="宋体" w:cs="仿宋"/>
          <w:lang w:val="en-US"/>
        </w:rPr>
      </w:pPr>
      <w:r>
        <w:rPr>
          <w:rFonts w:hint="default" w:ascii="Times New Roman" w:hAnsi="宋体" w:eastAsia="宋体" w:cs="仿宋"/>
          <w:kern w:val="2"/>
          <w:sz w:val="21"/>
          <w:szCs w:val="22"/>
          <w:lang w:val="en-US" w:eastAsia="zh-CN" w:bidi="ar-SA"/>
        </w:rPr>
        <w:t>3) During hazy weather conditions with high dust levels, it is e</w:t>
      </w:r>
      <w:bookmarkStart w:id="18" w:name="_Toc422909519"/>
      <w:bookmarkStart w:id="19" w:name="_Toc422918618"/>
      <w:r>
        <w:rPr>
          <w:rFonts w:hint="default" w:ascii="Times New Roman" w:hAnsi="宋体" w:eastAsia="宋体" w:cs="仿宋"/>
          <w:kern w:val="2"/>
          <w:sz w:val="21"/>
          <w:szCs w:val="22"/>
          <w:lang w:val="en-US" w:eastAsia="zh-CN" w:bidi="ar-SA"/>
        </w:rPr>
        <w:t>ssenti</w:t>
      </w:r>
      <w:bookmarkEnd w:id="18"/>
      <w:bookmarkEnd w:id="19"/>
      <w:r>
        <w:rPr>
          <w:rFonts w:hint="default" w:ascii="Times New Roman" w:hAnsi="宋体" w:eastAsia="宋体" w:cs="仿宋"/>
          <w:kern w:val="2"/>
          <w:sz w:val="21"/>
          <w:szCs w:val="22"/>
          <w:lang w:val="en-US" w:eastAsia="zh-CN" w:bidi="ar-SA"/>
        </w:rPr>
        <w:t>al to gently wipe off dust adhering to the mirror surfaces of the receiving and transmitting devices using a damp soft cotton cloth to prevent interference with normal product functionality.</w:t>
      </w:r>
    </w:p>
    <w:p w14:paraId="1D8EF1AC">
      <w:pPr>
        <w:pStyle w:val="2"/>
        <w:rPr>
          <w:rFonts w:hint="default"/>
          <w:lang w:val="en-US"/>
        </w:rPr>
      </w:pPr>
      <w:bookmarkStart w:id="20" w:name="_Toc90392201"/>
      <w:bookmarkStart w:id="21" w:name="_Toc90393099"/>
      <w:r>
        <w:rPr>
          <w:rFonts w:hint="default" w:ascii="Times New Roman" w:hAnsi="Calibri" w:eastAsia="宋体" w:cs="Times New Roman"/>
          <w:b/>
          <w:bCs/>
          <w:kern w:val="44"/>
          <w:sz w:val="44"/>
          <w:szCs w:val="44"/>
          <w:lang w:val="en-US" w:eastAsia="zh-CN" w:bidi="ar-SA"/>
        </w:rPr>
        <w:t>II. Product Introduction</w:t>
      </w:r>
      <w:bookmarkEnd w:id="20"/>
      <w:bookmarkEnd w:id="21"/>
    </w:p>
    <w:p w14:paraId="3214C270">
      <w:pPr>
        <w:pStyle w:val="4"/>
        <w:spacing w:before="240" w:after="240" w:line="240" w:lineRule="auto"/>
        <w:rPr>
          <w:rStyle w:val="19"/>
          <w:rFonts w:hint="default" w:ascii="宋体" w:hAnsi="宋体"/>
          <w:b/>
          <w:bCs/>
          <w:lang w:val="en-US"/>
        </w:rPr>
      </w:pPr>
      <w:bookmarkStart w:id="22" w:name="_Toc90393100"/>
      <w:r>
        <w:rPr>
          <w:rFonts w:hint="default" w:ascii="Times New Roman" w:hAnsi="宋体" w:eastAsia="宋体" w:cs="Times New Roman"/>
          <w:b/>
          <w:bCs/>
          <w:kern w:val="2"/>
          <w:sz w:val="32"/>
          <w:szCs w:val="32"/>
          <w:lang w:val="en-US" w:eastAsia="zh-CN" w:bidi="ar-SA"/>
        </w:rPr>
        <w:t>2.1 Product Overview</w:t>
      </w:r>
      <w:bookmarkEnd w:id="22"/>
    </w:p>
    <w:p w14:paraId="05B86A3B">
      <w:pPr>
        <w:pStyle w:val="14"/>
        <w:spacing w:before="0" w:beforeAutospacing="0" w:after="0" w:afterAutospacing="0"/>
        <w:rPr>
          <w:rFonts w:hint="default" w:cs="仿宋"/>
          <w:sz w:val="21"/>
          <w:szCs w:val="21"/>
          <w:lang w:val="en-US"/>
        </w:rPr>
      </w:pPr>
      <w:r>
        <w:rPr>
          <w:rFonts w:hint="default" w:ascii="Times New Roman" w:hAnsi="宋体" w:eastAsia="宋体" w:cs="宋体"/>
          <w:kern w:val="0"/>
          <w:sz w:val="21"/>
          <w:szCs w:val="21"/>
          <w:lang w:val="en-US" w:eastAsia="zh-CN" w:bidi="ar-SA"/>
        </w:rPr>
        <w:t>Composed of a laser transceiver device, receiving device, and fixed bracket, this instrument employs the principle of laser absorption spectroscopy (TDLAS) to perform remote real-time online monitoring of methane gas concentration between the laser transceiver device and receiving device. It also features functions such as signal acquisition, conversion, and transmission.</w:t>
      </w:r>
    </w:p>
    <w:p w14:paraId="7D64E98E">
      <w:pPr>
        <w:pStyle w:val="4"/>
        <w:spacing w:before="240" w:after="240" w:line="240" w:lineRule="auto"/>
        <w:rPr>
          <w:rStyle w:val="19"/>
          <w:rFonts w:hint="default" w:ascii="宋体" w:hAnsi="宋体"/>
          <w:b/>
          <w:bCs/>
          <w:sz w:val="28"/>
          <w:lang w:val="en-US"/>
        </w:rPr>
      </w:pPr>
      <w:bookmarkStart w:id="23" w:name="_Toc90393101"/>
      <w:r>
        <w:rPr>
          <w:rFonts w:hint="default" w:ascii="Times New Roman" w:hAnsi="宋体" w:eastAsia="宋体" w:cs="Times New Roman"/>
          <w:b/>
          <w:bCs/>
          <w:kern w:val="2"/>
          <w:sz w:val="28"/>
          <w:szCs w:val="32"/>
          <w:lang w:val="en-US" w:eastAsia="zh-CN" w:bidi="ar-SA"/>
        </w:rPr>
        <w:t>2.1.1 Detection Principle</w:t>
      </w:r>
      <w:bookmarkEnd w:id="23"/>
    </w:p>
    <w:p w14:paraId="3B5A5EA7">
      <w:pPr>
        <w:pStyle w:val="14"/>
        <w:spacing w:before="0" w:beforeAutospacing="0" w:after="0" w:afterAutospacing="0"/>
        <w:rPr>
          <w:rFonts w:hint="default"/>
          <w:sz w:val="21"/>
          <w:szCs w:val="21"/>
          <w:lang w:val="en-US"/>
        </w:rPr>
      </w:pPr>
      <w:r>
        <w:rPr>
          <w:rFonts w:hint="default" w:ascii="Times New Roman" w:hAnsi="宋体" w:eastAsia="宋体" w:cs="宋体"/>
          <w:kern w:val="0"/>
          <w:sz w:val="21"/>
          <w:szCs w:val="21"/>
          <w:lang w:val="en-US" w:eastAsia="zh-CN" w:bidi="ar-SA"/>
        </w:rPr>
        <w:t>The measurement principle fully utilizes methane gas's absorption characteristics at a specific wavelength. When the detection beam encounters methane molecules, a portion of the beam is absorbed by them. By measuring the absorption rate, the methane concentration can be determined.</w:t>
      </w:r>
    </w:p>
    <w:p w14:paraId="1F4FF628">
      <w:pPr>
        <w:pStyle w:val="4"/>
        <w:spacing w:before="240" w:after="240" w:line="240" w:lineRule="auto"/>
        <w:rPr>
          <w:rFonts w:hint="default" w:ascii="宋体" w:hAnsi="宋体"/>
          <w:lang w:val="en-US"/>
        </w:rPr>
      </w:pPr>
      <w:bookmarkStart w:id="24" w:name="_Toc422918619"/>
      <w:bookmarkStart w:id="25" w:name="_Toc422909520"/>
      <w:bookmarkStart w:id="26" w:name="_Toc90393102"/>
      <w:r>
        <w:rPr>
          <w:rFonts w:hint="default" w:ascii="Times New Roman" w:hAnsi="宋体" w:eastAsia="宋体" w:cs="Times New Roman"/>
          <w:b/>
          <w:bCs/>
          <w:kern w:val="2"/>
          <w:sz w:val="32"/>
          <w:szCs w:val="32"/>
          <w:lang w:val="en-US" w:eastAsia="zh-CN" w:bidi="ar-SA"/>
        </w:rPr>
        <w:t xml:space="preserve">2.2 </w:t>
      </w:r>
      <w:bookmarkEnd w:id="24"/>
      <w:bookmarkEnd w:id="25"/>
      <w:r>
        <w:rPr>
          <w:rFonts w:hint="default" w:ascii="Times New Roman" w:hAnsi="宋体" w:eastAsia="宋体" w:cs="Times New Roman"/>
          <w:b/>
          <w:bCs/>
          <w:kern w:val="2"/>
          <w:sz w:val="32"/>
          <w:szCs w:val="32"/>
          <w:lang w:val="en-US" w:eastAsia="zh-CN" w:bidi="ar-SA"/>
        </w:rPr>
        <w:t>Transceiver Device</w:t>
      </w:r>
      <w:bookmarkEnd w:id="26"/>
    </w:p>
    <w:p w14:paraId="09C1A124">
      <w:pPr>
        <w:ind w:firstLine="420" w:firstLineChars="200"/>
        <w:rPr>
          <w:rFonts w:hint="default" w:ascii="宋体" w:hAnsi="宋体"/>
          <w:lang w:val="en-US"/>
        </w:rPr>
      </w:pPr>
      <w:r>
        <w:rPr>
          <w:rFonts w:hint="default" w:ascii="Times New Roman" w:hAnsi="宋体" w:eastAsia="宋体" w:cs="Times New Roman"/>
          <w:kern w:val="2"/>
          <w:sz w:val="21"/>
          <w:szCs w:val="22"/>
          <w:lang w:val="en-US" w:eastAsia="zh-CN" w:bidi="ar-SA"/>
        </w:rPr>
        <w:t>The laser transceiver system consists of a laser emission module, an adjustable mounting bracket, and a weatherproof enclosure. The laser emission module controls laser emission through an internal drive mechanism. The mounting bracket enables adjustment of the transceiver's horizontal and pitch angles to ensure stable laser emission onto the transmitting device. The stainless steel enclosure provides robust physical protection against harsh weather conditions, effectively shielding the equipment from thermal radiation and preventing operational disruptions caused by rain or snow.</w:t>
      </w:r>
    </w:p>
    <w:p w14:paraId="4A3BE9C2">
      <w:pPr>
        <w:ind w:firstLine="420" w:firstLineChars="200"/>
        <w:jc w:val="center"/>
        <w:rPr>
          <w:rFonts w:hint="eastAsia" w:ascii="宋体" w:hAnsi="宋体"/>
        </w:rPr>
      </w:pPr>
      <w:r>
        <w:drawing>
          <wp:inline distT="0" distB="0" distL="114300" distR="114300">
            <wp:extent cx="2143760" cy="822960"/>
            <wp:effectExtent l="0" t="0" r="15240" b="15240"/>
            <wp:docPr id="3" name="图片 3" descr="BEY43966{[37KV4UA@ZQ(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EY43966{[37KV4UA@ZQ(_Q"/>
                    <pic:cNvPicPr>
                      <a:picLocks noChangeAspect="1"/>
                    </pic:cNvPicPr>
                  </pic:nvPicPr>
                  <pic:blipFill>
                    <a:blip r:embed="rId8"/>
                    <a:srcRect t="40907" b="20334"/>
                    <a:stretch>
                      <a:fillRect/>
                    </a:stretch>
                  </pic:blipFill>
                  <pic:spPr>
                    <a:xfrm>
                      <a:off x="0" y="0"/>
                      <a:ext cx="2143760" cy="822960"/>
                    </a:xfrm>
                    <a:prstGeom prst="rect">
                      <a:avLst/>
                    </a:prstGeom>
                    <a:noFill/>
                    <a:ln>
                      <a:noFill/>
                    </a:ln>
                  </pic:spPr>
                </pic:pic>
              </a:graphicData>
            </a:graphic>
          </wp:inline>
        </w:drawing>
      </w:r>
    </w:p>
    <w:p w14:paraId="783032B6">
      <w:pPr>
        <w:pStyle w:val="4"/>
        <w:spacing w:before="240" w:after="240" w:line="240" w:lineRule="auto"/>
        <w:rPr>
          <w:rFonts w:hint="default" w:ascii="宋体" w:hAnsi="宋体"/>
          <w:lang w:val="en-US"/>
        </w:rPr>
      </w:pPr>
      <w:bookmarkStart w:id="27" w:name="_Toc90393103"/>
      <w:r>
        <w:rPr>
          <w:rFonts w:hint="default" w:ascii="Times New Roman" w:hAnsi="宋体" w:eastAsia="宋体" w:cs="Times New Roman"/>
          <w:b/>
          <w:bCs/>
          <w:kern w:val="2"/>
          <w:sz w:val="32"/>
          <w:szCs w:val="32"/>
          <w:lang w:val="en-US" w:eastAsia="zh-CN" w:bidi="ar-SA"/>
        </w:rPr>
        <w:t>2.3 Receiving Device</w:t>
      </w:r>
      <w:bookmarkEnd w:id="27"/>
    </w:p>
    <w:p w14:paraId="5EE3980A">
      <w:pPr>
        <w:ind w:firstLine="420" w:firstLineChars="200"/>
        <w:rPr>
          <w:rFonts w:hint="default" w:ascii="宋体" w:hAnsi="宋体" w:cs="仿宋"/>
          <w:lang w:val="en-US"/>
        </w:rPr>
      </w:pPr>
      <w:r>
        <w:rPr>
          <w:rFonts w:hint="default" w:ascii="Times New Roman" w:hAnsi="宋体" w:eastAsia="宋体" w:cs="Times New Roman"/>
          <w:kern w:val="2"/>
          <w:sz w:val="21"/>
          <w:szCs w:val="22"/>
          <w:lang w:val="en-US" w:eastAsia="zh-CN" w:bidi="ar-SA"/>
        </w:rPr>
        <w:t>The laser receiving system consists of a laser receiver module, mounting bracket, and weatherproof enclosure. The laser receiver module captures laser signals through specialized receivers, while high-precision optical components perform photoelectric conversion. Processed signals undergo concentration inversion before being transmitted via data cables. The adjustable mounting bracket enables precise alignment of transceiver units by regulating horizontal and pitch angles. The stainless steel weatherproof enclosure provides robust physical protection against harsh conditions, effectively shielding equipment from thermal radiation and preventing operational disruptions caused by rain or snow.</w:t>
      </w:r>
    </w:p>
    <w:p w14:paraId="372529A3">
      <w:pPr>
        <w:ind w:firstLine="420" w:firstLineChars="200"/>
        <w:jc w:val="center"/>
        <w:rPr>
          <w:rFonts w:hint="eastAsia" w:ascii="宋体" w:hAnsi="宋体" w:cs="仿宋"/>
        </w:rPr>
      </w:pPr>
      <w:r>
        <w:drawing>
          <wp:inline distT="0" distB="0" distL="114300" distR="114300">
            <wp:extent cx="2143760" cy="822960"/>
            <wp:effectExtent l="0" t="0" r="15240" b="15240"/>
            <wp:docPr id="4" name="图片 24" descr="BEY43966{[37KV4UA@ZQ(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4" descr="BEY43966{[37KV4UA@ZQ(_Q"/>
                    <pic:cNvPicPr>
                      <a:picLocks noChangeAspect="1"/>
                    </pic:cNvPicPr>
                  </pic:nvPicPr>
                  <pic:blipFill>
                    <a:blip r:embed="rId8"/>
                    <a:srcRect t="40907" b="20334"/>
                    <a:stretch>
                      <a:fillRect/>
                    </a:stretch>
                  </pic:blipFill>
                  <pic:spPr>
                    <a:xfrm>
                      <a:off x="0" y="0"/>
                      <a:ext cx="2143760" cy="822960"/>
                    </a:xfrm>
                    <a:prstGeom prst="rect">
                      <a:avLst/>
                    </a:prstGeom>
                    <a:noFill/>
                    <a:ln>
                      <a:noFill/>
                    </a:ln>
                  </pic:spPr>
                </pic:pic>
              </a:graphicData>
            </a:graphic>
          </wp:inline>
        </w:drawing>
      </w:r>
    </w:p>
    <w:p w14:paraId="4C9941F6">
      <w:pPr>
        <w:pStyle w:val="2"/>
        <w:spacing w:before="240" w:after="240" w:line="240" w:lineRule="auto"/>
        <w:jc w:val="left"/>
        <w:rPr>
          <w:rFonts w:hint="default" w:ascii="宋体" w:hAnsi="宋体"/>
          <w:lang w:val="en-US"/>
        </w:rPr>
      </w:pPr>
      <w:bookmarkStart w:id="28" w:name="_Toc90393104"/>
      <w:bookmarkStart w:id="29" w:name="_Toc90392202"/>
      <w:r>
        <w:rPr>
          <w:rFonts w:hint="default" w:ascii="Times New Roman" w:hAnsi="宋体" w:eastAsia="宋体" w:cs="Times New Roman"/>
          <w:b/>
          <w:bCs/>
          <w:kern w:val="44"/>
          <w:sz w:val="44"/>
          <w:szCs w:val="44"/>
          <w:lang w:val="en-US" w:eastAsia="zh-CN" w:bidi="ar-SA"/>
        </w:rPr>
        <w:t>III. O</w:t>
      </w:r>
      <w:bookmarkStart w:id="30" w:name="_Toc422909525"/>
      <w:r>
        <w:rPr>
          <w:rFonts w:hint="default" w:ascii="Times New Roman" w:hAnsi="宋体" w:eastAsia="宋体" w:cs="Times New Roman"/>
          <w:b/>
          <w:bCs/>
          <w:kern w:val="44"/>
          <w:sz w:val="44"/>
          <w:szCs w:val="44"/>
          <w:lang w:val="en-US" w:eastAsia="zh-CN" w:bidi="ar-SA"/>
        </w:rPr>
        <w:t>pe</w:t>
      </w:r>
      <w:bookmarkEnd w:id="30"/>
      <w:r>
        <w:rPr>
          <w:rFonts w:hint="default" w:ascii="Times New Roman" w:hAnsi="宋体" w:eastAsia="宋体" w:cs="Times New Roman"/>
          <w:b/>
          <w:bCs/>
          <w:kern w:val="44"/>
          <w:sz w:val="44"/>
          <w:szCs w:val="44"/>
          <w:lang w:val="en-US" w:eastAsia="zh-CN" w:bidi="ar-SA"/>
        </w:rPr>
        <w:t>rational Procedures</w:t>
      </w:r>
      <w:bookmarkEnd w:id="28"/>
      <w:bookmarkEnd w:id="29"/>
    </w:p>
    <w:p w14:paraId="56F35908">
      <w:pPr>
        <w:pStyle w:val="4"/>
        <w:spacing w:before="240" w:after="240" w:line="240" w:lineRule="auto"/>
        <w:rPr>
          <w:rFonts w:hint="default" w:ascii="宋体" w:hAnsi="宋体"/>
          <w:bCs w:val="0"/>
          <w:lang w:val="en-US"/>
        </w:rPr>
      </w:pPr>
      <w:bookmarkStart w:id="31" w:name="_Toc90393105"/>
      <w:r>
        <w:rPr>
          <w:rFonts w:hint="default" w:ascii="Times New Roman" w:hAnsi="宋体" w:eastAsia="宋体" w:cs="Times New Roman"/>
          <w:b/>
          <w:bCs w:val="0"/>
          <w:kern w:val="2"/>
          <w:sz w:val="32"/>
          <w:szCs w:val="32"/>
          <w:lang w:val="en-US" w:eastAsia="zh-CN" w:bidi="ar-SA"/>
        </w:rPr>
        <w:t>3.1 Equipment Inspection</w:t>
      </w:r>
      <w:bookmarkEnd w:id="31"/>
    </w:p>
    <w:p w14:paraId="388F295E">
      <w:pPr>
        <w:ind w:firstLine="525" w:firstLineChars="250"/>
        <w:rPr>
          <w:rFonts w:hint="default" w:ascii="宋体" w:hAnsi="宋体" w:cs="宋体"/>
          <w:lang w:val="en-US"/>
        </w:rPr>
      </w:pPr>
      <w:r>
        <w:rPr>
          <w:rFonts w:hint="default" w:ascii="Times New Roman" w:hAnsi="宋体" w:eastAsia="宋体" w:cs="宋体"/>
          <w:kern w:val="2"/>
          <w:sz w:val="21"/>
          <w:szCs w:val="22"/>
          <w:lang w:val="en-US" w:eastAsia="zh-CN" w:bidi="ar-SA"/>
        </w:rPr>
        <w:t>1) Check whether the equipment is intact and all data cables are properly connected and in good condition;</w:t>
      </w:r>
    </w:p>
    <w:p w14:paraId="71D7466E">
      <w:pPr>
        <w:ind w:firstLine="525" w:firstLineChars="250"/>
        <w:rPr>
          <w:rFonts w:hint="default" w:ascii="宋体" w:hAnsi="宋体" w:cs="宋体"/>
          <w:lang w:val="en-US"/>
        </w:rPr>
      </w:pPr>
      <w:r>
        <w:rPr>
          <w:rFonts w:hint="default" w:ascii="Times New Roman" w:hAnsi="宋体" w:eastAsia="宋体" w:cs="宋体"/>
          <w:kern w:val="2"/>
          <w:sz w:val="21"/>
          <w:szCs w:val="22"/>
          <w:lang w:val="en-US" w:eastAsia="zh-CN" w:bidi="ar-SA"/>
        </w:rPr>
        <w:t>2) Ensure the receiving mirror is clean and regularly wipe it with a soft dry cloth.</w:t>
      </w:r>
    </w:p>
    <w:p w14:paraId="0A8CC95C">
      <w:pPr>
        <w:pStyle w:val="4"/>
        <w:spacing w:before="240" w:after="240" w:line="240" w:lineRule="auto"/>
        <w:rPr>
          <w:rFonts w:hint="default" w:ascii="宋体" w:hAnsi="宋体"/>
          <w:bCs w:val="0"/>
          <w:lang w:val="en-US"/>
        </w:rPr>
      </w:pPr>
      <w:bookmarkStart w:id="32" w:name="_Toc90393106"/>
      <w:r>
        <w:rPr>
          <w:rFonts w:hint="default" w:ascii="Times New Roman" w:hAnsi="宋体" w:eastAsia="宋体" w:cs="Times New Roman"/>
          <w:b/>
          <w:bCs w:val="0"/>
          <w:kern w:val="2"/>
          <w:sz w:val="32"/>
          <w:szCs w:val="32"/>
          <w:lang w:val="en-US" w:eastAsia="zh-CN" w:bidi="ar-SA"/>
        </w:rPr>
        <w:t>3.2 Equipment Operation</w:t>
      </w:r>
      <w:bookmarkEnd w:id="32"/>
    </w:p>
    <w:p w14:paraId="70CA2E1E">
      <w:pPr>
        <w:ind w:firstLine="420" w:firstLineChars="200"/>
        <w:rPr>
          <w:rFonts w:hint="default" w:ascii="宋体" w:hAnsi="宋体" w:cs="仿宋"/>
          <w:lang w:val="en-US"/>
        </w:rPr>
      </w:pPr>
      <w:r>
        <w:rPr>
          <w:rFonts w:hint="default" w:ascii="Times New Roman" w:hAnsi="宋体" w:eastAsia="宋体" w:cs="仿宋"/>
          <w:kern w:val="2"/>
          <w:sz w:val="21"/>
          <w:szCs w:val="22"/>
          <w:lang w:val="en-US" w:eastAsia="zh-CN" w:bidi="ar-SA"/>
        </w:rPr>
        <w:t>1) After completing the above process inspection, power on and activate the device;</w:t>
      </w:r>
    </w:p>
    <w:p w14:paraId="01D0CB87">
      <w:pPr>
        <w:ind w:firstLine="420" w:firstLineChars="200"/>
        <w:rPr>
          <w:rFonts w:hint="default" w:ascii="宋体" w:hAnsi="宋体" w:cs="仿宋"/>
          <w:lang w:val="en-US"/>
        </w:rPr>
      </w:pPr>
      <w:r>
        <w:rPr>
          <w:rFonts w:hint="default" w:ascii="Times New Roman" w:hAnsi="宋体" w:eastAsia="宋体" w:cs="仿宋"/>
          <w:kern w:val="2"/>
          <w:sz w:val="21"/>
          <w:szCs w:val="22"/>
          <w:lang w:val="en-US" w:eastAsia="zh-CN" w:bidi="ar-SA"/>
        </w:rPr>
        <w:t>2) Power supply method: The device supports DC 24V power supply. The power cord equipped with this device can be connected to the on-site 24V DC power source to supply power to the device. If 24V DC power is unavailable at the site, an AC-to-DC 24V power converter can be utilized to generate stable 24V DC power for powering the device.</w:t>
      </w:r>
    </w:p>
    <w:p w14:paraId="0AEB2985">
      <w:pPr>
        <w:pStyle w:val="2"/>
        <w:spacing w:before="240" w:after="240" w:line="240" w:lineRule="auto"/>
        <w:jc w:val="left"/>
        <w:rPr>
          <w:rFonts w:hint="default" w:ascii="宋体" w:hAnsi="宋体"/>
          <w:lang w:val="en-US"/>
        </w:rPr>
      </w:pPr>
      <w:bookmarkStart w:id="33" w:name="_Toc90392203"/>
      <w:bookmarkStart w:id="34" w:name="_Toc90393107"/>
      <w:r>
        <w:rPr>
          <w:rFonts w:hint="default" w:ascii="Times New Roman" w:hAnsi="宋体" w:eastAsia="宋体" w:cs="Times New Roman"/>
          <w:b/>
          <w:bCs/>
          <w:kern w:val="44"/>
          <w:sz w:val="44"/>
          <w:szCs w:val="44"/>
          <w:lang w:val="en-US" w:eastAsia="zh-CN" w:bidi="ar-SA"/>
        </w:rPr>
        <w:t>IV. Installation Operating Procedures</w:t>
      </w:r>
      <w:bookmarkEnd w:id="33"/>
      <w:bookmarkEnd w:id="34"/>
    </w:p>
    <w:p w14:paraId="579E4412">
      <w:pPr>
        <w:pStyle w:val="4"/>
        <w:spacing w:before="240" w:after="240" w:line="240" w:lineRule="auto"/>
        <w:rPr>
          <w:rFonts w:hint="default" w:ascii="宋体" w:hAnsi="宋体"/>
          <w:bCs w:val="0"/>
          <w:lang w:val="en-US"/>
        </w:rPr>
      </w:pPr>
      <w:bookmarkStart w:id="35" w:name="_Toc90393108"/>
      <w:r>
        <w:rPr>
          <w:rFonts w:hint="default" w:ascii="Times New Roman" w:hAnsi="宋体" w:eastAsia="宋体" w:cs="Times New Roman"/>
          <w:b/>
          <w:bCs w:val="0"/>
          <w:kern w:val="2"/>
          <w:sz w:val="32"/>
          <w:szCs w:val="32"/>
          <w:lang w:val="en-US" w:eastAsia="zh-CN" w:bidi="ar-SA"/>
        </w:rPr>
        <w:t>4.1 Installation Environment Requirements</w:t>
      </w:r>
      <w:bookmarkEnd w:id="35"/>
    </w:p>
    <w:p w14:paraId="6B7CAEB8">
      <w:pPr>
        <w:rPr>
          <w:rFonts w:hint="default" w:cs="仿宋"/>
          <w:sz w:val="28"/>
          <w:szCs w:val="28"/>
          <w:lang w:val="en-US"/>
        </w:rPr>
      </w:pPr>
      <w:r>
        <w:rPr>
          <w:rFonts w:hint="default" w:ascii="Times New Roman" w:hAnsi="Calibri" w:eastAsia="宋体" w:cs="Times New Roman"/>
          <w:kern w:val="2"/>
          <w:sz w:val="21"/>
          <w:szCs w:val="22"/>
          <w:lang w:val="en-US" w:eastAsia="zh-CN" w:bidi="ar-SA"/>
        </w:rPr>
        <w:t>The installation of this device requires the use of visible green light to calibrate the optical path between the transmitter and receiver. Under intense sunlight conditions, visible green light is difficult to observe. Therefore, it is recommended to install this device in environments with weaker sunlight (overcast days or evening hours).</w:t>
      </w:r>
    </w:p>
    <w:p w14:paraId="537B3ACC">
      <w:pPr>
        <w:pStyle w:val="4"/>
        <w:spacing w:before="240" w:after="240" w:line="240" w:lineRule="auto"/>
        <w:rPr>
          <w:rFonts w:hint="default" w:ascii="宋体" w:hAnsi="宋体"/>
          <w:bCs w:val="0"/>
          <w:lang w:val="en-US"/>
        </w:rPr>
      </w:pPr>
      <w:bookmarkStart w:id="36" w:name="_Toc90393109"/>
      <w:r>
        <w:rPr>
          <w:rFonts w:hint="default" w:ascii="Times New Roman" w:hAnsi="宋体" w:eastAsia="宋体" w:cs="Times New Roman"/>
          <w:b/>
          <w:bCs w:val="0"/>
          <w:kern w:val="2"/>
          <w:sz w:val="32"/>
          <w:szCs w:val="32"/>
          <w:lang w:val="en-US" w:eastAsia="zh-CN" w:bidi="ar-SA"/>
        </w:rPr>
        <w:t>4.2 Installation Location Requirements</w:t>
      </w:r>
      <w:bookmarkEnd w:id="36"/>
    </w:p>
    <w:p w14:paraId="1A4A8717">
      <w:pPr>
        <w:rPr>
          <w:rFonts w:hint="default"/>
          <w:lang w:val="en-US"/>
        </w:rPr>
      </w:pPr>
      <w:r>
        <w:rPr>
          <w:rFonts w:hint="default" w:ascii="Times New Roman" w:hAnsi="Calibri" w:eastAsia="宋体" w:cs="Times New Roman"/>
          <w:kern w:val="2"/>
          <w:sz w:val="21"/>
          <w:szCs w:val="22"/>
          <w:lang w:val="en-US" w:eastAsia="zh-CN" w:bidi="ar-SA"/>
        </w:rPr>
        <w:t>This device is primarily designed for gas concentration monitoring in large open spaces such as long-distance pipelines, pressure regulation stations, and valve chambers. It is typically installed at pipeline valve locations or above valve chamber clusters. For outdoor installations, self-made support poles or on-site conditions should be considered; indoor installations require custom-made mounting bases or expansion bolts. Installation should avoid areas with significant vibrations or dust accumulation, with a detection range not exceeding 120 meters.</w:t>
      </w:r>
    </w:p>
    <w:p w14:paraId="73794F8C">
      <w:pPr>
        <w:pStyle w:val="4"/>
        <w:spacing w:before="240" w:after="240" w:line="240" w:lineRule="auto"/>
        <w:rPr>
          <w:rFonts w:hint="default" w:ascii="宋体" w:hAnsi="宋体"/>
          <w:bCs w:val="0"/>
          <w:lang w:val="en-US"/>
        </w:rPr>
      </w:pPr>
      <w:bookmarkStart w:id="37" w:name="_Toc90393110"/>
      <w:r>
        <w:rPr>
          <w:rFonts w:hint="default" w:ascii="Times New Roman" w:hAnsi="宋体" w:eastAsia="宋体" w:cs="Times New Roman"/>
          <w:b/>
          <w:bCs w:val="0"/>
          <w:kern w:val="2"/>
          <w:sz w:val="32"/>
          <w:szCs w:val="32"/>
          <w:lang w:val="en-US" w:eastAsia="zh-CN" w:bidi="ar-SA"/>
        </w:rPr>
        <w:t>4.3 Installation Dimensions and Requirements</w:t>
      </w:r>
      <w:bookmarkEnd w:id="37"/>
    </w:p>
    <w:p w14:paraId="3CBB9C3F">
      <w:pPr>
        <w:pStyle w:val="4"/>
        <w:spacing w:before="240" w:after="240" w:line="240" w:lineRule="auto"/>
        <w:rPr>
          <w:rFonts w:hint="default"/>
          <w:lang w:val="en-US"/>
        </w:rPr>
      </w:pPr>
      <w:bookmarkStart w:id="38" w:name="_Toc90393111"/>
      <w:r>
        <w:rPr>
          <w:rFonts w:hint="default" w:ascii="Times New Roman" w:hAnsi="宋体" w:eastAsia="宋体" w:cs="Times New Roman"/>
          <w:b/>
          <w:bCs/>
          <w:kern w:val="2"/>
          <w:sz w:val="28"/>
          <w:szCs w:val="32"/>
          <w:lang w:val="en-US" w:eastAsia="zh-CN" w:bidi="ar-SA"/>
        </w:rPr>
        <w:t>4.3.1 Appearance and Installation Dimension Diagram</w:t>
      </w:r>
      <w:bookmarkEnd w:id="38"/>
    </w:p>
    <w:p w14:paraId="12519C24">
      <w:r>
        <w:drawing>
          <wp:inline distT="0" distB="0" distL="114300" distR="114300">
            <wp:extent cx="4530725" cy="1418590"/>
            <wp:effectExtent l="0" t="0" r="15875"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rcRect t="4488" b="2658"/>
                    <a:stretch>
                      <a:fillRect/>
                    </a:stretch>
                  </pic:blipFill>
                  <pic:spPr>
                    <a:xfrm>
                      <a:off x="0" y="0"/>
                      <a:ext cx="4530725" cy="1418590"/>
                    </a:xfrm>
                    <a:prstGeom prst="rect">
                      <a:avLst/>
                    </a:prstGeom>
                    <a:noFill/>
                    <a:ln>
                      <a:noFill/>
                    </a:ln>
                  </pic:spPr>
                </pic:pic>
              </a:graphicData>
            </a:graphic>
          </wp:inline>
        </w:drawing>
      </w:r>
    </w:p>
    <w:p w14:paraId="264D1F83">
      <w:pPr>
        <w:pStyle w:val="4"/>
        <w:spacing w:before="240" w:after="240" w:line="240" w:lineRule="auto"/>
        <w:rPr>
          <w:rFonts w:hint="default" w:ascii="宋体" w:hAnsi="宋体"/>
          <w:sz w:val="28"/>
          <w:lang w:val="en-US"/>
        </w:rPr>
      </w:pPr>
      <w:bookmarkStart w:id="39" w:name="_Toc90393112"/>
      <w:r>
        <w:rPr>
          <w:rFonts w:hint="default" w:ascii="Times New Roman" w:hAnsi="宋体" w:eastAsia="宋体" w:cs="Times New Roman"/>
          <w:b/>
          <w:bCs/>
          <w:kern w:val="2"/>
          <w:sz w:val="28"/>
          <w:szCs w:val="32"/>
          <w:lang w:val="en-US" w:eastAsia="zh-CN" w:bidi="ar-SA"/>
        </w:rPr>
        <w:t>4.3.2 Installation Requirements</w:t>
      </w:r>
      <w:bookmarkEnd w:id="39"/>
    </w:p>
    <w:p w14:paraId="4FBA422A">
      <w:pPr>
        <w:rPr>
          <w:rFonts w:hint="default"/>
          <w:lang w:val="en-US"/>
        </w:rPr>
      </w:pPr>
      <w:r>
        <w:rPr>
          <w:rFonts w:hint="default" w:ascii="Times New Roman" w:hAnsi="Calibri" w:eastAsia="宋体" w:cs="Times New Roman"/>
          <w:kern w:val="2"/>
          <w:sz w:val="21"/>
          <w:szCs w:val="22"/>
          <w:lang w:val="en-US" w:eastAsia="zh-CN" w:bidi="ar-SA"/>
        </w:rPr>
        <w:t>This device can be installed using metal pipe upright poles or flat walls depending on the on-site environment.</w:t>
      </w:r>
    </w:p>
    <w:p w14:paraId="772AB58F">
      <w:pPr>
        <w:rPr>
          <w:rFonts w:hint="default"/>
          <w:lang w:val="en-US"/>
        </w:rPr>
      </w:pPr>
      <w:r>
        <w:rPr>
          <w:rFonts w:ascii="Times New Roman" w:hAnsi="Calibri" w:eastAsia="宋体" w:cs="Times New Roman"/>
          <w:kern w:val="2"/>
          <w:sz w:val="21"/>
          <w:szCs w:val="22"/>
          <w:lang w:val="en-US" w:eastAsia="zh-CN" w:bidi="ar-SA"/>
        </w:rPr>
        <w:t>Wall installation method:</w:t>
      </w:r>
    </w:p>
    <w:p w14:paraId="33356754">
      <w:pPr>
        <w:jc w:val="center"/>
      </w:pPr>
      <w:r>
        <w:rPr>
          <w:rFonts w:hint="eastAsia"/>
        </w:rPr>
        <w:drawing>
          <wp:inline distT="0" distB="0" distL="114300" distR="114300">
            <wp:extent cx="2592070" cy="4224655"/>
            <wp:effectExtent l="0" t="0" r="24130" b="171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2592070" cy="4224655"/>
                    </a:xfrm>
                    <a:prstGeom prst="rect">
                      <a:avLst/>
                    </a:prstGeom>
                    <a:noFill/>
                    <a:ln>
                      <a:noFill/>
                    </a:ln>
                  </pic:spPr>
                </pic:pic>
              </a:graphicData>
            </a:graphic>
          </wp:inline>
        </w:drawing>
      </w:r>
    </w:p>
    <w:p w14:paraId="1A188A69">
      <w:pPr>
        <w:rPr>
          <w:rFonts w:hint="default"/>
          <w:lang w:val="en-US"/>
        </w:rPr>
      </w:pPr>
      <w:r>
        <w:rPr>
          <w:rFonts w:hint="default" w:ascii="Times New Roman" w:hAnsi="Calibri" w:eastAsia="宋体" w:cs="Times New Roman"/>
          <w:kern w:val="2"/>
          <w:sz w:val="21"/>
          <w:szCs w:val="22"/>
          <w:lang w:val="en-US" w:eastAsia="zh-CN" w:bidi="ar-SA"/>
        </w:rPr>
        <w:t>Wall mounting bracket:</w:t>
      </w:r>
    </w:p>
    <w:p w14:paraId="1738D124">
      <w:pPr>
        <w:jc w:val="center"/>
        <w:rPr>
          <w:rFonts w:hint="eastAsia"/>
        </w:rPr>
      </w:pPr>
      <w:r>
        <w:drawing>
          <wp:inline distT="0" distB="0" distL="114300" distR="114300">
            <wp:extent cx="4124325" cy="2707005"/>
            <wp:effectExtent l="0" t="0" r="15875" b="10795"/>
            <wp:docPr id="7" name="图片 7" descr="CEG{[EC1RLXFJE7F39F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EG{[EC1RLXFJE7F39FO`%3"/>
                    <pic:cNvPicPr>
                      <a:picLocks noChangeAspect="1"/>
                    </pic:cNvPicPr>
                  </pic:nvPicPr>
                  <pic:blipFill>
                    <a:blip r:embed="rId12"/>
                    <a:stretch>
                      <a:fillRect/>
                    </a:stretch>
                  </pic:blipFill>
                  <pic:spPr>
                    <a:xfrm>
                      <a:off x="0" y="0"/>
                      <a:ext cx="4124325" cy="2707005"/>
                    </a:xfrm>
                    <a:prstGeom prst="rect">
                      <a:avLst/>
                    </a:prstGeom>
                    <a:noFill/>
                    <a:ln>
                      <a:noFill/>
                    </a:ln>
                  </pic:spPr>
                </pic:pic>
              </a:graphicData>
            </a:graphic>
          </wp:inline>
        </w:drawing>
      </w:r>
    </w:p>
    <w:p w14:paraId="18A1F6AE">
      <w:pPr>
        <w:rPr>
          <w:rFonts w:hint="default"/>
          <w:lang w:val="en-US"/>
        </w:rPr>
      </w:pPr>
      <w:r>
        <w:rPr>
          <w:rFonts w:hint="default" w:ascii="Times New Roman" w:hAnsi="Calibri" w:eastAsia="宋体" w:cs="Times New Roman"/>
          <w:kern w:val="2"/>
          <w:sz w:val="21"/>
          <w:szCs w:val="22"/>
          <w:lang w:val="en-US" w:eastAsia="zh-CN" w:bidi="ar-SA"/>
        </w:rPr>
        <w:t>Pole installation method:</w:t>
      </w:r>
    </w:p>
    <w:p w14:paraId="20120969">
      <w:pPr>
        <w:jc w:val="center"/>
        <w:rPr>
          <w:rFonts w:hint="eastAsia"/>
        </w:rPr>
      </w:pPr>
      <w:r>
        <w:rPr>
          <w:rFonts w:hint="eastAsia"/>
        </w:rPr>
        <w:drawing>
          <wp:inline distT="0" distB="0" distL="114300" distR="114300">
            <wp:extent cx="2577465" cy="4352925"/>
            <wp:effectExtent l="0" t="0" r="13335" b="158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2577465" cy="4352925"/>
                    </a:xfrm>
                    <a:prstGeom prst="rect">
                      <a:avLst/>
                    </a:prstGeom>
                    <a:noFill/>
                    <a:ln>
                      <a:noFill/>
                    </a:ln>
                  </pic:spPr>
                </pic:pic>
              </a:graphicData>
            </a:graphic>
          </wp:inline>
        </w:drawing>
      </w:r>
    </w:p>
    <w:p w14:paraId="250F997C">
      <w:pPr>
        <w:pStyle w:val="4"/>
        <w:spacing w:before="240" w:after="240" w:line="240" w:lineRule="auto"/>
        <w:rPr>
          <w:rFonts w:hint="default" w:ascii="宋体" w:hAnsi="宋体"/>
          <w:bCs w:val="0"/>
          <w:lang w:val="en-US"/>
        </w:rPr>
      </w:pPr>
      <w:bookmarkStart w:id="40" w:name="_Toc90393113"/>
      <w:r>
        <w:rPr>
          <w:rFonts w:hint="default" w:ascii="Times New Roman" w:hAnsi="宋体" w:eastAsia="宋体" w:cs="Times New Roman"/>
          <w:b/>
          <w:bCs w:val="0"/>
          <w:kern w:val="2"/>
          <w:sz w:val="32"/>
          <w:szCs w:val="32"/>
          <w:lang w:val="en-US" w:eastAsia="zh-CN" w:bidi="ar-SA"/>
        </w:rPr>
        <w:t>4.4 Installation Procedures and Testing Methods</w:t>
      </w:r>
      <w:bookmarkEnd w:id="40"/>
    </w:p>
    <w:p w14:paraId="7FC6A1F0">
      <w:pPr>
        <w:rPr>
          <w:rFonts w:hint="default"/>
          <w:lang w:val="en-US"/>
        </w:rPr>
      </w:pPr>
      <w:r>
        <w:rPr>
          <w:rFonts w:hint="default" w:ascii="Times New Roman" w:hAnsi="Calibri" w:eastAsia="宋体" w:cs="Times New Roman"/>
          <w:kern w:val="2"/>
          <w:sz w:val="21"/>
          <w:szCs w:val="22"/>
          <w:lang w:val="en-US" w:eastAsia="zh-CN" w:bidi="ar-SA"/>
        </w:rPr>
        <w:t>(1) Pre-installation preparations: multimeter, wrench, bevel pliers, lens cleaning cloth, installation bolts, washers, nuts, etc.;</w:t>
      </w:r>
    </w:p>
    <w:p w14:paraId="71E7F2BC">
      <w:pPr>
        <w:rPr>
          <w:rFonts w:hint="default"/>
          <w:lang w:val="en-US"/>
        </w:rPr>
      </w:pPr>
      <w:r>
        <w:rPr>
          <w:rFonts w:hint="default" w:ascii="Times New Roman" w:hAnsi="Calibri" w:eastAsia="宋体" w:cs="Times New Roman"/>
          <w:kern w:val="2"/>
          <w:sz w:val="21"/>
          <w:szCs w:val="22"/>
          <w:lang w:val="en-US" w:eastAsia="zh-CN" w:bidi="ar-SA"/>
        </w:rPr>
        <w:t>(2) Installation Steps</w:t>
      </w:r>
    </w:p>
    <w:p w14:paraId="7A0ACC4E">
      <w:pPr>
        <w:ind w:firstLine="420"/>
        <w:rPr>
          <w:rFonts w:hint="default"/>
          <w:lang w:val="en-US"/>
        </w:rPr>
      </w:pPr>
      <w:r>
        <w:rPr>
          <w:rFonts w:hint="default" w:ascii="Times New Roman" w:hAnsi="Calibri" w:eastAsia="宋体" w:cs="Times New Roman"/>
          <w:kern w:val="2"/>
          <w:sz w:val="21"/>
          <w:szCs w:val="22"/>
          <w:lang w:val="en-US" w:eastAsia="zh-CN" w:bidi="ar-SA"/>
        </w:rPr>
        <w:t>Preparation before equipment installation: Conduct on-site inspection to determine the installation location and height of the transmitting and receiving devices, and verify the completeness of the probes.</w:t>
      </w:r>
    </w:p>
    <w:p w14:paraId="790181BA">
      <w:pPr>
        <w:rPr>
          <w:rFonts w:hint="default" w:cs="仿宋"/>
          <w:lang w:val="en-US"/>
        </w:rPr>
      </w:pPr>
      <w:r>
        <w:rPr>
          <w:rFonts w:hint="default" w:ascii="Times New Roman" w:hAnsi="Calibri" w:eastAsia="宋体" w:cs="仿宋"/>
          <w:kern w:val="2"/>
          <w:sz w:val="21"/>
          <w:szCs w:val="22"/>
          <w:lang w:val="en-US" w:eastAsia="zh-CN" w:bidi="ar-SA"/>
        </w:rPr>
        <w:t>2) Installation and debugging of receiving and transmitting devices: Install the receiving and transmitting devices on the wall according to the site survey drawings, tighten the four fixing nuts on the mounting base, and direct the green light from the transmitting end onto the receiving plate;</w:t>
      </w:r>
    </w:p>
    <w:p w14:paraId="38B6A977">
      <w:pPr>
        <w:rPr>
          <w:rFonts w:hint="eastAsia"/>
        </w:rPr>
      </w:pPr>
    </w:p>
    <w:p w14:paraId="0308AAC8">
      <w:pPr>
        <w:pStyle w:val="4"/>
        <w:spacing w:before="240" w:after="240" w:line="240" w:lineRule="auto"/>
        <w:rPr>
          <w:rFonts w:hint="default" w:ascii="宋体" w:hAnsi="宋体"/>
          <w:bCs w:val="0"/>
          <w:lang w:val="en-US"/>
        </w:rPr>
      </w:pPr>
      <w:bookmarkStart w:id="41" w:name="_Toc90393114"/>
      <w:r>
        <w:rPr>
          <w:rFonts w:hint="default" w:ascii="Times New Roman" w:hAnsi="宋体" w:eastAsia="宋体" w:cs="Times New Roman"/>
          <w:b/>
          <w:bCs w:val="0"/>
          <w:kern w:val="2"/>
          <w:sz w:val="32"/>
          <w:szCs w:val="32"/>
          <w:lang w:val="en-US" w:eastAsia="zh-CN" w:bidi="ar-SA"/>
        </w:rPr>
        <w:t>4.5 Interface and Connector Installation Requirements</w:t>
      </w:r>
      <w:bookmarkEnd w:id="41"/>
    </w:p>
    <w:p w14:paraId="38EF10C4">
      <w:pPr>
        <w:rPr>
          <w:rFonts w:hint="default"/>
          <w:lang w:val="en-US"/>
        </w:rPr>
      </w:pPr>
      <w:r>
        <w:rPr>
          <w:rFonts w:hint="default" w:ascii="Times New Roman" w:hAnsi="Calibri" w:eastAsia="宋体" w:cs="Times New Roman"/>
          <w:kern w:val="2"/>
          <w:sz w:val="21"/>
          <w:szCs w:val="22"/>
          <w:lang w:val="en-US" w:eastAsia="zh-CN" w:bidi="ar-SA"/>
        </w:rPr>
        <w:t>The power cable and signal cable are connected to the explosion-proof junction box via explosion-proof flexible hoses. The power supply and 4-20mA signal lines utilize rail-mounted quick-connect terminals for easy on-site wiring installation. Interface specifications are detailed in the table below:</w:t>
      </w:r>
    </w:p>
    <w:p w14:paraId="7E9E417B">
      <w:pPr>
        <w:widowControl/>
        <w:jc w:val="center"/>
      </w:pPr>
      <w:r>
        <w:drawing>
          <wp:inline distT="0" distB="0" distL="114300" distR="114300">
            <wp:extent cx="3716020" cy="3724275"/>
            <wp:effectExtent l="0" t="0" r="17780" b="952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4"/>
                    <a:stretch>
                      <a:fillRect/>
                    </a:stretch>
                  </pic:blipFill>
                  <pic:spPr>
                    <a:xfrm>
                      <a:off x="0" y="0"/>
                      <a:ext cx="3716020" cy="3724275"/>
                    </a:xfrm>
                    <a:prstGeom prst="rect">
                      <a:avLst/>
                    </a:prstGeom>
                    <a:noFill/>
                    <a:ln>
                      <a:noFill/>
                    </a:ln>
                  </pic:spPr>
                </pic:pic>
              </a:graphicData>
            </a:graphic>
          </wp:inline>
        </w:drawing>
      </w:r>
    </w:p>
    <w:p w14:paraId="72767EA6">
      <w:pPr>
        <w:widowControl/>
        <w:jc w:val="center"/>
        <w:rPr>
          <w:rFonts w:hint="eastAsia"/>
        </w:rPr>
      </w:pP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2438"/>
      </w:tblGrid>
      <w:tr w14:paraId="5FC64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0214CF57">
            <w:pPr>
              <w:jc w:val="center"/>
              <w:rPr>
                <w:rFonts w:hint="default"/>
                <w:lang w:val="en-US"/>
              </w:rPr>
            </w:pPr>
            <w:bookmarkStart w:id="42" w:name="_Toc90392204"/>
            <w:r>
              <w:rPr>
                <w:rFonts w:hint="default" w:ascii="Times New Roman" w:hAnsi="Calibri" w:eastAsia="宋体" w:cs="Times New Roman"/>
                <w:kern w:val="2"/>
                <w:sz w:val="21"/>
                <w:szCs w:val="22"/>
                <w:lang w:val="en-US" w:eastAsia="zh-CN" w:bidi="ar-SA"/>
              </w:rPr>
              <w:t>order number</w:t>
            </w:r>
            <w:bookmarkEnd w:id="42"/>
          </w:p>
        </w:tc>
        <w:tc>
          <w:tcPr>
            <w:tcW w:w="2438" w:type="dxa"/>
            <w:noWrap w:val="0"/>
            <w:vAlign w:val="top"/>
          </w:tcPr>
          <w:p w14:paraId="0932B4F1">
            <w:pPr>
              <w:jc w:val="center"/>
              <w:rPr>
                <w:rFonts w:hint="default"/>
                <w:lang w:val="en-US"/>
              </w:rPr>
            </w:pPr>
            <w:bookmarkStart w:id="43" w:name="_Toc90392205"/>
            <w:r>
              <w:rPr>
                <w:rFonts w:hint="default" w:ascii="Times New Roman" w:hAnsi="Calibri" w:eastAsia="宋体" w:cs="Times New Roman"/>
                <w:kern w:val="2"/>
                <w:sz w:val="21"/>
                <w:szCs w:val="22"/>
                <w:lang w:val="en-US" w:eastAsia="zh-CN" w:bidi="ar-SA"/>
              </w:rPr>
              <w:t>Interface definition</w:t>
            </w:r>
            <w:bookmarkEnd w:id="43"/>
          </w:p>
        </w:tc>
      </w:tr>
      <w:tr w14:paraId="00636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078B815F">
            <w:pPr>
              <w:jc w:val="center"/>
              <w:rPr>
                <w:rFonts w:hint="default"/>
                <w:lang w:val="en-US"/>
              </w:rPr>
            </w:pPr>
            <w:bookmarkStart w:id="44" w:name="_Toc90392206"/>
            <w:r>
              <w:rPr>
                <w:rFonts w:ascii="Times New Roman" w:hAnsi="Calibri" w:eastAsia="宋体" w:cs="Times New Roman"/>
                <w:kern w:val="2"/>
                <w:sz w:val="21"/>
                <w:szCs w:val="22"/>
                <w:lang w:val="en-US" w:eastAsia="zh-CN" w:bidi="ar-SA"/>
              </w:rPr>
              <w:t>+</w:t>
            </w:r>
            <w:bookmarkEnd w:id="44"/>
          </w:p>
        </w:tc>
        <w:tc>
          <w:tcPr>
            <w:tcW w:w="2438" w:type="dxa"/>
            <w:noWrap w:val="0"/>
            <w:vAlign w:val="top"/>
          </w:tcPr>
          <w:p w14:paraId="4EA26CFB">
            <w:pPr>
              <w:jc w:val="center"/>
              <w:rPr>
                <w:rFonts w:hint="default"/>
                <w:lang w:val="en-US"/>
              </w:rPr>
            </w:pPr>
            <w:bookmarkStart w:id="45" w:name="_Toc90392207"/>
            <w:r>
              <w:rPr>
                <w:rFonts w:hint="default" w:ascii="Times New Roman" w:hAnsi="Calibri" w:eastAsia="宋体" w:cs="Times New Roman"/>
                <w:kern w:val="2"/>
                <w:sz w:val="21"/>
                <w:szCs w:val="22"/>
                <w:lang w:val="en-US" w:eastAsia="zh-CN" w:bidi="ar-SA"/>
              </w:rPr>
              <w:t>24V+</w:t>
            </w:r>
            <w:bookmarkEnd w:id="45"/>
          </w:p>
        </w:tc>
      </w:tr>
      <w:tr w14:paraId="45B6D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3166607B">
            <w:pPr>
              <w:jc w:val="center"/>
              <w:rPr>
                <w:rFonts w:hint="default"/>
                <w:lang w:val="en-US"/>
              </w:rPr>
            </w:pPr>
            <w:bookmarkStart w:id="46" w:name="_Toc90392208"/>
            <w:r>
              <w:rPr>
                <w:rFonts w:ascii="Times New Roman" w:hAnsi="Calibri" w:eastAsia="宋体" w:cs="Times New Roman"/>
                <w:kern w:val="2"/>
                <w:sz w:val="21"/>
                <w:szCs w:val="22"/>
                <w:lang w:val="en-US" w:eastAsia="zh-CN" w:bidi="ar-SA"/>
              </w:rPr>
              <w:t>-</w:t>
            </w:r>
            <w:bookmarkEnd w:id="46"/>
          </w:p>
        </w:tc>
        <w:tc>
          <w:tcPr>
            <w:tcW w:w="2438" w:type="dxa"/>
            <w:noWrap w:val="0"/>
            <w:vAlign w:val="top"/>
          </w:tcPr>
          <w:p w14:paraId="55D08484">
            <w:pPr>
              <w:jc w:val="center"/>
              <w:rPr>
                <w:rFonts w:hint="default"/>
                <w:lang w:val="en-US"/>
              </w:rPr>
            </w:pPr>
            <w:bookmarkStart w:id="47" w:name="_Toc90392209"/>
            <w:r>
              <w:rPr>
                <w:rFonts w:ascii="Times New Roman" w:hAnsi="Calibri" w:eastAsia="宋体" w:cs="Times New Roman"/>
                <w:kern w:val="2"/>
                <w:sz w:val="21"/>
                <w:szCs w:val="22"/>
                <w:lang w:val="en-US" w:eastAsia="zh-CN" w:bidi="ar-SA"/>
              </w:rPr>
              <w:t>24V-</w:t>
            </w:r>
            <w:bookmarkEnd w:id="47"/>
          </w:p>
        </w:tc>
      </w:tr>
      <w:tr w14:paraId="6CBD8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6E63206E">
            <w:pPr>
              <w:jc w:val="center"/>
              <w:rPr>
                <w:rFonts w:hint="default"/>
                <w:lang w:val="en-US"/>
              </w:rPr>
            </w:pPr>
            <w:bookmarkStart w:id="48" w:name="_Toc90392210"/>
            <w:r>
              <w:rPr>
                <w:rFonts w:hint="default" w:ascii="Times New Roman" w:hAnsi="Calibri" w:eastAsia="宋体" w:cs="Times New Roman"/>
                <w:kern w:val="2"/>
                <w:sz w:val="21"/>
                <w:szCs w:val="22"/>
                <w:lang w:val="en-US" w:eastAsia="zh-CN" w:bidi="ar-SA"/>
              </w:rPr>
              <w:t>S</w:t>
            </w:r>
            <w:bookmarkEnd w:id="48"/>
          </w:p>
        </w:tc>
        <w:tc>
          <w:tcPr>
            <w:tcW w:w="2438" w:type="dxa"/>
            <w:noWrap w:val="0"/>
            <w:vAlign w:val="top"/>
          </w:tcPr>
          <w:p w14:paraId="33C8D7C7">
            <w:pPr>
              <w:jc w:val="center"/>
              <w:rPr>
                <w:rFonts w:hint="default"/>
                <w:lang w:val="en-US"/>
              </w:rPr>
            </w:pPr>
            <w:bookmarkStart w:id="49" w:name="_Toc90392211"/>
            <w:r>
              <w:rPr>
                <w:rFonts w:hint="default" w:ascii="Times New Roman" w:hAnsi="Calibri" w:eastAsia="宋体" w:cs="Times New Roman"/>
                <w:kern w:val="2"/>
                <w:sz w:val="21"/>
                <w:szCs w:val="22"/>
                <w:lang w:val="en-US" w:eastAsia="zh-CN" w:bidi="ar-SA"/>
              </w:rPr>
              <w:t>4-20mA</w:t>
            </w:r>
            <w:bookmarkEnd w:id="49"/>
          </w:p>
        </w:tc>
      </w:tr>
    </w:tbl>
    <w:p w14:paraId="26E03897">
      <w:pPr>
        <w:pStyle w:val="4"/>
        <w:spacing w:before="240" w:after="240" w:line="240" w:lineRule="auto"/>
        <w:rPr>
          <w:rFonts w:hint="default" w:ascii="宋体" w:hAnsi="宋体"/>
          <w:bCs w:val="0"/>
          <w:lang w:val="en-US"/>
        </w:rPr>
      </w:pPr>
      <w:bookmarkStart w:id="50" w:name="_Toc90393115"/>
      <w:r>
        <w:rPr>
          <w:rFonts w:hint="default" w:ascii="Times New Roman" w:hAnsi="宋体" w:eastAsia="宋体" w:cs="Times New Roman"/>
          <w:b/>
          <w:bCs w:val="0"/>
          <w:kern w:val="2"/>
          <w:sz w:val="32"/>
          <w:szCs w:val="32"/>
          <w:lang w:val="en-US" w:eastAsia="zh-CN" w:bidi="ar-SA"/>
        </w:rPr>
        <w:t>4.6 Installation Precautions</w:t>
      </w:r>
      <w:bookmarkEnd w:id="50"/>
    </w:p>
    <w:p w14:paraId="5B0EFC73">
      <w:pPr>
        <w:rPr>
          <w:rFonts w:hint="default"/>
          <w:lang w:val="en-US"/>
        </w:rPr>
      </w:pPr>
      <w:r>
        <w:rPr>
          <w:rFonts w:hint="default" w:ascii="Times New Roman" w:hAnsi="Calibri" w:eastAsia="宋体" w:cs="Times New Roman"/>
          <w:kern w:val="2"/>
          <w:sz w:val="21"/>
          <w:szCs w:val="22"/>
          <w:lang w:val="en-US" w:eastAsia="zh-CN" w:bidi="ar-SA"/>
        </w:rPr>
        <w:t>1) During installation, live equipment operation is strictly prohibited;</w:t>
      </w:r>
    </w:p>
    <w:p w14:paraId="2A35DCBF">
      <w:pPr>
        <w:rPr>
          <w:rFonts w:hint="default"/>
          <w:lang w:val="en-US"/>
        </w:rPr>
      </w:pPr>
      <w:r>
        <w:rPr>
          <w:rFonts w:hint="default" w:ascii="Times New Roman" w:hAnsi="Calibri" w:eastAsia="宋体" w:cs="Times New Roman"/>
          <w:kern w:val="2"/>
          <w:sz w:val="21"/>
          <w:szCs w:val="22"/>
          <w:lang w:val="en-US" w:eastAsia="zh-CN" w:bidi="ar-SA"/>
        </w:rPr>
        <w:t>2) This product is classified as precision equipment. Professional tools must be used during disassembly and assembly. Violations such as rough handling or improper operation are strictly prohibited.</w:t>
      </w:r>
    </w:p>
    <w:p w14:paraId="17B4C247">
      <w:pPr>
        <w:rPr>
          <w:rFonts w:hint="default"/>
          <w:lang w:val="en-US"/>
        </w:rPr>
      </w:pPr>
      <w:r>
        <w:rPr>
          <w:rFonts w:hint="default" w:ascii="Times New Roman" w:hAnsi="Calibri" w:eastAsia="宋体" w:cs="Times New Roman"/>
          <w:kern w:val="2"/>
          <w:sz w:val="21"/>
          <w:szCs w:val="22"/>
          <w:lang w:val="en-US" w:eastAsia="zh-CN" w:bidi="ar-SA"/>
        </w:rPr>
        <w:t>3) During installation, sunlight must not direct onto the probe lens.</w:t>
      </w:r>
    </w:p>
    <w:p w14:paraId="16875701">
      <w:pPr>
        <w:rPr>
          <w:rFonts w:hint="default"/>
          <w:lang w:val="en-US"/>
        </w:rPr>
      </w:pPr>
      <w:r>
        <w:rPr>
          <w:rFonts w:hint="default" w:ascii="Times New Roman" w:hAnsi="Calibri" w:eastAsia="宋体" w:cs="Times New Roman"/>
          <w:kern w:val="2"/>
          <w:sz w:val="21"/>
          <w:szCs w:val="22"/>
          <w:lang w:val="en-US" w:eastAsia="zh-CN" w:bidi="ar-SA"/>
        </w:rPr>
        <w:t>4) The internal components of the emission device must not be disassembled to avoid damage or contamination of the internal lenses, circuits, and laser.</w:t>
      </w:r>
    </w:p>
    <w:p w14:paraId="4C4EAACF">
      <w:pPr>
        <w:rPr>
          <w:rFonts w:hint="default"/>
          <w:lang w:val="en-US"/>
        </w:rPr>
      </w:pPr>
      <w:r>
        <w:rPr>
          <w:rFonts w:hint="default" w:ascii="Times New Roman" w:hAnsi="Calibri" w:eastAsia="宋体" w:cs="Times New Roman"/>
          <w:kern w:val="2"/>
          <w:sz w:val="21"/>
          <w:szCs w:val="22"/>
          <w:lang w:val="en-US" w:eastAsia="zh-CN" w:bidi="ar-SA"/>
        </w:rPr>
        <w:t>5) Frequent device activation is strictly prohibited to avoid laser damage.</w:t>
      </w:r>
    </w:p>
    <w:p w14:paraId="2EBE7428">
      <w:pPr>
        <w:rPr>
          <w:rFonts w:hint="default"/>
          <w:lang w:val="en-US"/>
        </w:rPr>
      </w:pPr>
      <w:r>
        <w:rPr>
          <w:rFonts w:hint="default" w:ascii="Times New Roman" w:hAnsi="Calibri" w:eastAsia="宋体" w:cs="Times New Roman"/>
          <w:kern w:val="2"/>
          <w:sz w:val="21"/>
          <w:szCs w:val="22"/>
          <w:lang w:val="en-US" w:eastAsia="zh-CN" w:bidi="ar-SA"/>
        </w:rPr>
        <w:t>6) Equipment must be grounded during installation.</w:t>
      </w:r>
    </w:p>
    <w:p w14:paraId="4C4B0828">
      <w:pPr>
        <w:rPr>
          <w:rFonts w:hint="default"/>
          <w:szCs w:val="21"/>
          <w:lang w:val="en-US"/>
        </w:rPr>
      </w:pPr>
      <w:r>
        <w:rPr>
          <w:rFonts w:hint="default" w:ascii="Times New Roman" w:hAnsi="Calibri" w:eastAsia="宋体" w:cs="Times New Roman"/>
          <w:kern w:val="2"/>
          <w:sz w:val="21"/>
          <w:szCs w:val="22"/>
          <w:lang w:val="en-US" w:eastAsia="zh-CN" w:bidi="ar-SA"/>
        </w:rPr>
        <w:t>7) If the equipment malfunctions, immediately shut it down, notify technical personnel for maintenance, and contact our company's engineers for technical guidance.</w:t>
      </w:r>
    </w:p>
    <w:p w14:paraId="72DD9D2D">
      <w:pPr>
        <w:pStyle w:val="2"/>
        <w:spacing w:before="240" w:after="240" w:line="240" w:lineRule="auto"/>
        <w:jc w:val="left"/>
        <w:rPr>
          <w:rFonts w:hint="default" w:ascii="宋体" w:hAnsi="宋体"/>
          <w:lang w:val="en-US"/>
        </w:rPr>
      </w:pPr>
      <w:bookmarkStart w:id="51" w:name="_Toc90392212"/>
      <w:bookmarkStart w:id="52" w:name="_Toc90393116"/>
      <w:r>
        <w:rPr>
          <w:rFonts w:hint="default" w:ascii="Times New Roman" w:hAnsi="宋体" w:eastAsia="宋体" w:cs="Times New Roman"/>
          <w:b/>
          <w:bCs/>
          <w:kern w:val="44"/>
          <w:sz w:val="44"/>
          <w:szCs w:val="44"/>
          <w:lang w:val="en-US" w:eastAsia="zh-CN" w:bidi="ar-SA"/>
        </w:rPr>
        <w:t>V. Factors Affecting Accuracy</w:t>
      </w:r>
      <w:bookmarkEnd w:id="51"/>
      <w:bookmarkEnd w:id="52"/>
    </w:p>
    <w:p w14:paraId="1920D72B">
      <w:pPr>
        <w:rPr>
          <w:rFonts w:hint="default" w:cs="仿宋"/>
          <w:lang w:val="en-US"/>
        </w:rPr>
      </w:pPr>
      <w:bookmarkStart w:id="53" w:name="_Toc90392213"/>
      <w:r>
        <w:rPr>
          <w:rFonts w:ascii="Times New Roman" w:hAnsi="Calibri" w:eastAsia="宋体" w:cs="仿宋"/>
          <w:kern w:val="2"/>
          <w:sz w:val="21"/>
          <w:szCs w:val="22"/>
          <w:lang w:val="en-US" w:eastAsia="zh-CN" w:bidi="ar-SA"/>
        </w:rPr>
        <w:t>General fact</w:t>
      </w:r>
      <w:bookmarkEnd w:id="53"/>
      <w:r>
        <w:rPr>
          <w:rFonts w:ascii="Times New Roman" w:hAnsi="Calibri" w:eastAsia="宋体" w:cs="仿宋"/>
          <w:kern w:val="2"/>
          <w:sz w:val="21"/>
          <w:szCs w:val="22"/>
          <w:lang w:val="en-US" w:eastAsia="zh-CN" w:bidi="ar-SA"/>
        </w:rPr>
        <w:t>ors affecting detection accuracy:</w:t>
      </w:r>
      <w:r>
        <w:rPr>
          <w:rFonts w:ascii="Times New Roman" w:hAnsi="Calibri" w:eastAsia="宋体" w:cs="仿宋"/>
          <w:kern w:val="2"/>
          <w:sz w:val="21"/>
          <w:szCs w:val="22"/>
          <w:lang w:val="en-US" w:eastAsia="zh-CN" w:bidi="ar-SA"/>
        </w:rPr>
        <w:tab/>
      </w:r>
    </w:p>
    <w:p w14:paraId="3EFF2A97">
      <w:pPr>
        <w:numPr>
          <w:ilvl w:val="0"/>
          <w:numId w:val="1"/>
        </w:numPr>
        <w:ind w:left="0" w:leftChars="0" w:firstLine="0" w:firstLineChars="0"/>
        <w:rPr>
          <w:rFonts w:hint="eastAsia" w:ascii="宋体" w:hAnsi="宋体" w:cs="宋体"/>
        </w:rPr>
      </w:pPr>
      <w:r>
        <w:rPr>
          <w:rFonts w:hint="default" w:ascii="Times New Roman" w:hAnsi="宋体" w:eastAsia="宋体" w:cs="宋体"/>
          <w:kern w:val="2"/>
          <w:sz w:val="21"/>
          <w:szCs w:val="22"/>
          <w:lang w:val="en-US" w:eastAsia="zh-CN" w:bidi="ar-SA"/>
        </w:rPr>
        <w:t>In outdoor environments, the receiving end's mirror surface is prone to contamination, resulting in weaker signals and compromised measurement accuracy.</w:t>
      </w:r>
    </w:p>
    <w:p w14:paraId="2C576F4C">
      <w:pPr>
        <w:numPr>
          <w:ilvl w:val="0"/>
          <w:numId w:val="1"/>
        </w:numPr>
        <w:ind w:left="0" w:leftChars="0" w:firstLine="0" w:firstLineChars="0"/>
        <w:rPr>
          <w:rFonts w:hint="eastAsia" w:ascii="宋体" w:hAnsi="宋体" w:cs="宋体"/>
        </w:rPr>
      </w:pPr>
      <w:r>
        <w:rPr>
          <w:rFonts w:hint="default" w:ascii="Times New Roman" w:hAnsi="宋体" w:eastAsia="宋体" w:cs="宋体"/>
          <w:kern w:val="2"/>
          <w:sz w:val="21"/>
          <w:szCs w:val="22"/>
          <w:lang w:val="en-US" w:eastAsia="zh-CN" w:bidi="ar-SA"/>
        </w:rPr>
        <w:t>When temperatures are high or wind speeds are strong, gas diffusion occurs more rapidly. Consequently, when leakage volumes are minimal, the escaping gas cannot be effectively contained, which may result in significant deviations in detection values.</w:t>
      </w:r>
    </w:p>
    <w:p w14:paraId="1DD4E447">
      <w:pPr>
        <w:numPr>
          <w:ilvl w:val="0"/>
          <w:numId w:val="1"/>
        </w:numPr>
        <w:ind w:left="0" w:leftChars="0" w:firstLine="0" w:firstLineChars="0"/>
        <w:rPr>
          <w:rFonts w:ascii="宋体" w:hAnsi="宋体" w:cs="宋体"/>
        </w:rPr>
      </w:pPr>
      <w:r>
        <w:rPr>
          <w:rFonts w:hint="default" w:ascii="Times New Roman" w:hAnsi="宋体" w:eastAsia="宋体" w:cs="宋体"/>
          <w:kern w:val="2"/>
          <w:sz w:val="21"/>
          <w:szCs w:val="22"/>
          <w:lang w:val="en-US" w:eastAsia="zh-CN" w:bidi="ar-SA"/>
        </w:rPr>
        <w:t>Under adverse weather conditions such as heavy fog or severe haze, the reception of optical signal may be weakened, thereby affecting measurement accuracy and normal operational functionality.</w:t>
      </w:r>
    </w:p>
    <w:p w14:paraId="460F87A5">
      <w:pPr>
        <w:pStyle w:val="2"/>
        <w:rPr>
          <w:rFonts w:hint="default"/>
          <w:lang w:val="en-US"/>
        </w:rPr>
      </w:pPr>
      <w:bookmarkStart w:id="54" w:name="_Toc422909549"/>
      <w:bookmarkStart w:id="55" w:name="_Toc422918644"/>
      <w:bookmarkStart w:id="56" w:name="_Toc90393117"/>
      <w:bookmarkStart w:id="57" w:name="_Toc90392214"/>
      <w:r>
        <w:rPr>
          <w:rFonts w:hint="default" w:ascii="Times New Roman" w:hAnsi="Calibri" w:eastAsia="宋体" w:cs="Times New Roman"/>
          <w:b/>
          <w:bCs/>
          <w:kern w:val="44"/>
          <w:sz w:val="44"/>
          <w:szCs w:val="44"/>
          <w:lang w:val="en-US" w:eastAsia="zh-CN" w:bidi="ar-SA"/>
        </w:rPr>
        <w:t>VI. Troubleshooting Common Faults</w:t>
      </w:r>
      <w:bookmarkEnd w:id="54"/>
      <w:bookmarkEnd w:id="55"/>
      <w:bookmarkEnd w:id="56"/>
      <w:bookmarkEnd w:id="57"/>
    </w:p>
    <w:p w14:paraId="1B3584AB">
      <w:pPr>
        <w:rPr>
          <w:rFonts w:hint="default" w:ascii="宋体" w:hAnsi="宋体" w:cs="仿宋"/>
          <w:lang w:val="en-US"/>
        </w:rPr>
      </w:pPr>
      <w:r>
        <w:rPr>
          <w:rFonts w:hint="default" w:ascii="Times New Roman" w:hAnsi="宋体" w:eastAsia="宋体" w:cs="仿宋"/>
          <w:kern w:val="2"/>
          <w:sz w:val="21"/>
          <w:szCs w:val="22"/>
          <w:lang w:val="en-US" w:eastAsia="zh-CN" w:bidi="ar-SA"/>
        </w:rPr>
        <w:t>Common equipment failures and solutions:</w:t>
      </w:r>
    </w:p>
    <w:tbl>
      <w:tblPr>
        <w:tblStyle w:val="16"/>
        <w:tblW w:w="0" w:type="auto"/>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813"/>
        <w:gridCol w:w="2173"/>
        <w:gridCol w:w="3209"/>
      </w:tblGrid>
      <w:tr w14:paraId="6BD190B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1813" w:type="dxa"/>
            <w:shd w:val="pct10" w:color="auto" w:fill="auto"/>
            <w:noWrap w:val="0"/>
            <w:vAlign w:val="center"/>
          </w:tcPr>
          <w:p w14:paraId="29211A61">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question</w:t>
            </w:r>
          </w:p>
        </w:tc>
        <w:tc>
          <w:tcPr>
            <w:tcW w:w="2173" w:type="dxa"/>
            <w:shd w:val="pct10" w:color="auto" w:fill="auto"/>
            <w:noWrap w:val="0"/>
            <w:vAlign w:val="center"/>
          </w:tcPr>
          <w:p w14:paraId="42AB1E93">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probable cause</w:t>
            </w:r>
          </w:p>
        </w:tc>
        <w:tc>
          <w:tcPr>
            <w:tcW w:w="3209" w:type="dxa"/>
            <w:shd w:val="pct10" w:color="auto" w:fill="auto"/>
            <w:noWrap w:val="0"/>
            <w:vAlign w:val="center"/>
          </w:tcPr>
          <w:p w14:paraId="75A0FA61">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resolvent</w:t>
            </w:r>
          </w:p>
        </w:tc>
      </w:tr>
      <w:tr w14:paraId="0F7223D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47" w:hRule="atLeast"/>
          <w:jc w:val="center"/>
        </w:trPr>
        <w:tc>
          <w:tcPr>
            <w:tcW w:w="1813" w:type="dxa"/>
            <w:noWrap w:val="0"/>
            <w:vAlign w:val="center"/>
          </w:tcPr>
          <w:p w14:paraId="25840E63">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The instrument is not functioning.</w:t>
            </w:r>
          </w:p>
        </w:tc>
        <w:tc>
          <w:tcPr>
            <w:tcW w:w="2173" w:type="dxa"/>
            <w:tcBorders>
              <w:bottom w:val="single" w:color="auto" w:sz="4" w:space="0"/>
            </w:tcBorders>
            <w:noWrap w:val="0"/>
            <w:vAlign w:val="center"/>
          </w:tcPr>
          <w:p w14:paraId="174AC765">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The device is not powered.</w:t>
            </w:r>
          </w:p>
        </w:tc>
        <w:tc>
          <w:tcPr>
            <w:tcW w:w="3209" w:type="dxa"/>
            <w:tcBorders>
              <w:bottom w:val="single" w:color="auto" w:sz="4" w:space="0"/>
            </w:tcBorders>
            <w:noWrap w:val="0"/>
            <w:vAlign w:val="center"/>
          </w:tcPr>
          <w:p w14:paraId="2178964C">
            <w:pPr>
              <w:numPr>
                <w:ilvl w:val="0"/>
                <w:numId w:val="2"/>
              </w:numPr>
              <w:ind w:left="420" w:leftChars="0" w:hanging="420" w:firstLineChars="0"/>
              <w:rPr>
                <w:rFonts w:hint="eastAsia" w:ascii="宋体" w:hAnsi="宋体" w:cs="宋体"/>
              </w:rPr>
            </w:pPr>
            <w:r>
              <w:rPr>
                <w:rFonts w:hint="default" w:ascii="Times New Roman" w:hAnsi="宋体" w:eastAsia="宋体" w:cs="宋体"/>
                <w:kern w:val="2"/>
                <w:sz w:val="21"/>
                <w:szCs w:val="22"/>
                <w:lang w:val="en-US" w:eastAsia="zh-CN" w:bidi="ar-SA"/>
              </w:rPr>
              <w:t>Check if the power supply is functioning properly</w:t>
            </w:r>
          </w:p>
        </w:tc>
      </w:tr>
      <w:tr w14:paraId="586F721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47" w:hRule="atLeast"/>
          <w:jc w:val="center"/>
        </w:trPr>
        <w:tc>
          <w:tcPr>
            <w:tcW w:w="1813" w:type="dxa"/>
            <w:noWrap w:val="0"/>
            <w:vAlign w:val="center"/>
          </w:tcPr>
          <w:p w14:paraId="0EACEF57">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output 2mA</w:t>
            </w:r>
          </w:p>
        </w:tc>
        <w:tc>
          <w:tcPr>
            <w:tcW w:w="2173" w:type="dxa"/>
            <w:tcBorders>
              <w:bottom w:val="single" w:color="auto" w:sz="4" w:space="0"/>
            </w:tcBorders>
            <w:noWrap w:val="0"/>
            <w:vAlign w:val="center"/>
          </w:tcPr>
          <w:p w14:paraId="0DEC72E5">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The device light intensity is too strong or too weak.</w:t>
            </w:r>
          </w:p>
        </w:tc>
        <w:tc>
          <w:tcPr>
            <w:tcW w:w="3209" w:type="dxa"/>
            <w:tcBorders>
              <w:bottom w:val="single" w:color="auto" w:sz="4" w:space="0"/>
            </w:tcBorders>
            <w:noWrap w:val="0"/>
            <w:vAlign w:val="center"/>
          </w:tcPr>
          <w:p w14:paraId="5AA04C33">
            <w:pPr>
              <w:numPr>
                <w:ilvl w:val="0"/>
                <w:numId w:val="2"/>
              </w:numPr>
              <w:ind w:left="420" w:leftChars="0" w:hanging="420" w:firstLineChars="0"/>
              <w:rPr>
                <w:rFonts w:hint="eastAsia" w:ascii="宋体" w:hAnsi="宋体" w:cs="宋体"/>
              </w:rPr>
            </w:pPr>
            <w:r>
              <w:rPr>
                <w:rFonts w:hint="default" w:ascii="Times New Roman" w:hAnsi="宋体" w:eastAsia="宋体" w:cs="宋体"/>
                <w:kern w:val="2"/>
                <w:sz w:val="21"/>
                <w:szCs w:val="22"/>
                <w:lang w:val="en-US" w:eastAsia="zh-CN" w:bidi="ar-SA"/>
              </w:rPr>
              <w:t>Adjust the launch device and its angle</w:t>
            </w:r>
          </w:p>
        </w:tc>
      </w:tr>
      <w:tr w14:paraId="3F36D8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56" w:hRule="atLeast"/>
          <w:jc w:val="center"/>
        </w:trPr>
        <w:tc>
          <w:tcPr>
            <w:tcW w:w="1813" w:type="dxa"/>
            <w:noWrap w:val="0"/>
            <w:vAlign w:val="center"/>
          </w:tcPr>
          <w:p w14:paraId="3AD05514">
            <w:pPr>
              <w:ind w:left="630" w:hanging="630" w:hangingChars="300"/>
              <w:jc w:val="center"/>
              <w:rPr>
                <w:rFonts w:hint="default" w:ascii="宋体" w:hAnsi="宋体" w:cs="宋体"/>
                <w:lang w:val="en-US"/>
              </w:rPr>
            </w:pPr>
            <w:r>
              <w:rPr>
                <w:rFonts w:hint="default" w:ascii="Times New Roman" w:hAnsi="宋体" w:eastAsia="宋体" w:cs="宋体"/>
                <w:kern w:val="2"/>
                <w:sz w:val="21"/>
                <w:szCs w:val="22"/>
                <w:lang w:val="en-US" w:eastAsia="zh-CN" w:bidi="ar-SA"/>
              </w:rPr>
              <w:t>User terminal reception</w:t>
            </w:r>
          </w:p>
          <w:p w14:paraId="6EB68B73">
            <w:pPr>
              <w:ind w:left="630" w:hanging="630" w:hangingChars="300"/>
              <w:jc w:val="center"/>
              <w:rPr>
                <w:rFonts w:hint="default" w:ascii="宋体" w:hAnsi="宋体" w:cs="宋体"/>
                <w:lang w:val="en-US"/>
              </w:rPr>
            </w:pPr>
            <w:r>
              <w:rPr>
                <w:rFonts w:hint="default" w:ascii="Times New Roman" w:hAnsi="宋体" w:eastAsia="宋体" w:cs="宋体"/>
                <w:kern w:val="2"/>
                <w:sz w:val="21"/>
                <w:szCs w:val="22"/>
                <w:lang w:val="en-US" w:eastAsia="zh-CN" w:bidi="ar-SA"/>
              </w:rPr>
              <w:t>Data not available</w:t>
            </w:r>
          </w:p>
        </w:tc>
        <w:tc>
          <w:tcPr>
            <w:tcW w:w="2173" w:type="dxa"/>
            <w:noWrap w:val="0"/>
            <w:vAlign w:val="center"/>
          </w:tcPr>
          <w:p w14:paraId="0D4EBDDA">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Communication failed to connect</w:t>
            </w:r>
          </w:p>
        </w:tc>
        <w:tc>
          <w:tcPr>
            <w:tcW w:w="3209" w:type="dxa"/>
            <w:tcBorders>
              <w:bottom w:val="single" w:color="auto" w:sz="4" w:space="0"/>
            </w:tcBorders>
            <w:noWrap w:val="0"/>
            <w:vAlign w:val="center"/>
          </w:tcPr>
          <w:p w14:paraId="013BFBAD">
            <w:pPr>
              <w:numPr>
                <w:ilvl w:val="0"/>
                <w:numId w:val="2"/>
              </w:numPr>
              <w:ind w:left="420" w:leftChars="0" w:hanging="420" w:firstLineChars="0"/>
              <w:rPr>
                <w:rFonts w:hint="eastAsia" w:ascii="宋体" w:hAnsi="宋体" w:cs="宋体"/>
              </w:rPr>
            </w:pPr>
            <w:r>
              <w:rPr>
                <w:rFonts w:hint="default" w:ascii="Times New Roman" w:hAnsi="宋体" w:eastAsia="宋体" w:cs="宋体"/>
                <w:kern w:val="2"/>
                <w:sz w:val="21"/>
                <w:szCs w:val="22"/>
                <w:lang w:val="en-US" w:eastAsia="zh-CN" w:bidi="ar-SA"/>
              </w:rPr>
              <w:t>Check if the interface wiring is correct</w:t>
            </w:r>
          </w:p>
        </w:tc>
      </w:tr>
    </w:tbl>
    <w:p w14:paraId="1AF3413A">
      <w:pPr>
        <w:pStyle w:val="2"/>
        <w:spacing w:before="240" w:after="240" w:line="240" w:lineRule="auto"/>
        <w:jc w:val="left"/>
        <w:rPr>
          <w:rFonts w:hint="default" w:ascii="宋体" w:hAnsi="宋体"/>
          <w:lang w:val="en-US"/>
        </w:rPr>
      </w:pPr>
      <w:bookmarkStart w:id="58" w:name="_Toc422918645"/>
      <w:bookmarkStart w:id="59" w:name="_Toc422909550"/>
      <w:bookmarkStart w:id="60" w:name="_Toc90393118"/>
      <w:bookmarkStart w:id="61" w:name="_Toc90392215"/>
      <w:r>
        <w:rPr>
          <w:rFonts w:hint="default" w:ascii="Times New Roman" w:hAnsi="宋体" w:eastAsia="宋体" w:cs="Times New Roman"/>
          <w:b/>
          <w:bCs/>
          <w:kern w:val="44"/>
          <w:sz w:val="44"/>
          <w:szCs w:val="44"/>
          <w:lang w:val="en-US" w:eastAsia="zh-CN" w:bidi="ar-SA"/>
        </w:rPr>
        <w:t>VII. Appendix</w:t>
      </w:r>
      <w:bookmarkEnd w:id="58"/>
      <w:bookmarkEnd w:id="59"/>
      <w:bookmarkEnd w:id="60"/>
      <w:bookmarkEnd w:id="61"/>
    </w:p>
    <w:p w14:paraId="3C21BB16">
      <w:pPr>
        <w:pStyle w:val="4"/>
        <w:spacing w:before="240" w:after="240" w:line="240" w:lineRule="auto"/>
        <w:rPr>
          <w:rFonts w:hint="default" w:ascii="宋体" w:hAnsi="宋体"/>
          <w:lang w:val="en-US"/>
        </w:rPr>
      </w:pPr>
      <w:bookmarkStart w:id="62" w:name="_Toc422918646"/>
      <w:bookmarkStart w:id="63" w:name="_Toc90393119"/>
      <w:bookmarkStart w:id="64" w:name="_Toc422909551"/>
      <w:r>
        <w:rPr>
          <w:rFonts w:hint="default" w:ascii="Times New Roman" w:hAnsi="宋体" w:eastAsia="宋体" w:cs="Times New Roman"/>
          <w:b/>
          <w:bCs/>
          <w:kern w:val="2"/>
          <w:sz w:val="32"/>
          <w:szCs w:val="32"/>
          <w:lang w:val="en-US" w:eastAsia="zh-CN" w:bidi="ar-SA"/>
        </w:rPr>
        <w:t>7.1 Daily Maintenance and Care</w:t>
      </w:r>
      <w:bookmarkEnd w:id="62"/>
      <w:bookmarkEnd w:id="63"/>
      <w:bookmarkEnd w:id="64"/>
    </w:p>
    <w:p w14:paraId="3F053804">
      <w:pPr>
        <w:ind w:firstLine="420" w:firstLineChars="200"/>
        <w:rPr>
          <w:rFonts w:hint="default" w:ascii="宋体" w:hAnsi="宋体" w:cs="宋体"/>
          <w:lang w:val="en-US"/>
        </w:rPr>
      </w:pPr>
      <w:r>
        <w:rPr>
          <w:rFonts w:hint="default" w:ascii="Times New Roman" w:hAnsi="宋体" w:eastAsia="宋体" w:cs="宋体"/>
          <w:kern w:val="2"/>
          <w:sz w:val="21"/>
          <w:szCs w:val="22"/>
          <w:lang w:val="en-US" w:eastAsia="zh-CN" w:bidi="ar-SA"/>
        </w:rPr>
        <w:t>To maintain the instrument in optimal condition, perform daily maintenance as follows.</w:t>
      </w:r>
    </w:p>
    <w:tbl>
      <w:tblPr>
        <w:tblStyle w:val="16"/>
        <w:tblW w:w="0" w:type="auto"/>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880"/>
        <w:gridCol w:w="6295"/>
      </w:tblGrid>
      <w:tr w14:paraId="2C02CF6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82" w:hRule="atLeast"/>
          <w:jc w:val="center"/>
        </w:trPr>
        <w:tc>
          <w:tcPr>
            <w:tcW w:w="880" w:type="dxa"/>
            <w:vMerge w:val="restart"/>
            <w:noWrap w:val="0"/>
            <w:vAlign w:val="center"/>
          </w:tcPr>
          <w:p w14:paraId="4FF25418">
            <w:pPr>
              <w:rPr>
                <w:rFonts w:hint="default" w:ascii="宋体" w:hAnsi="宋体" w:cs="宋体"/>
                <w:lang w:val="en-US"/>
              </w:rPr>
            </w:pPr>
            <w:r>
              <w:rPr>
                <w:rFonts w:hint="default" w:ascii="Times New Roman" w:hAnsi="宋体" w:eastAsia="宋体" w:cs="宋体"/>
                <w:kern w:val="2"/>
                <w:sz w:val="21"/>
                <w:szCs w:val="22"/>
                <w:lang w:val="en-US" w:eastAsia="zh-CN" w:bidi="ar-SA"/>
              </w:rPr>
              <w:t>organism</w:t>
            </w:r>
          </w:p>
        </w:tc>
        <w:tc>
          <w:tcPr>
            <w:tcW w:w="6295" w:type="dxa"/>
            <w:noWrap w:val="0"/>
            <w:vAlign w:val="center"/>
          </w:tcPr>
          <w:p w14:paraId="0F0CEE03">
            <w:pPr>
              <w:rPr>
                <w:rFonts w:hint="default" w:ascii="宋体" w:hAnsi="宋体" w:cs="宋体"/>
                <w:lang w:val="en-US"/>
              </w:rPr>
            </w:pPr>
            <w:r>
              <w:rPr>
                <w:rFonts w:hint="default" w:ascii="Times New Roman" w:hAnsi="宋体" w:eastAsia="宋体" w:cs="宋体"/>
                <w:kern w:val="2"/>
                <w:sz w:val="21"/>
                <w:szCs w:val="22"/>
                <w:lang w:val="en-US" w:eastAsia="zh-CN" w:bidi="ar-SA"/>
              </w:rPr>
              <w:t>Clean the device with a clean soft cloth or other specialized cloth when power is off.</w:t>
            </w:r>
          </w:p>
        </w:tc>
      </w:tr>
      <w:tr w14:paraId="22C83A6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880" w:type="dxa"/>
            <w:vMerge w:val="continue"/>
            <w:shd w:val="clear" w:color="auto" w:fill="auto"/>
            <w:noWrap w:val="0"/>
            <w:vAlign w:val="center"/>
          </w:tcPr>
          <w:p w14:paraId="34307615">
            <w:pPr>
              <w:rPr>
                <w:rFonts w:hint="eastAsia" w:ascii="宋体" w:hAnsi="宋体" w:cs="宋体"/>
              </w:rPr>
            </w:pPr>
          </w:p>
        </w:tc>
        <w:tc>
          <w:tcPr>
            <w:tcW w:w="6295" w:type="dxa"/>
            <w:shd w:val="pct10" w:color="auto" w:fill="auto"/>
            <w:noWrap w:val="0"/>
            <w:vAlign w:val="center"/>
          </w:tcPr>
          <w:p w14:paraId="30B431D5">
            <w:pPr>
              <w:rPr>
                <w:rFonts w:hint="default" w:ascii="宋体" w:hAnsi="宋体" w:cs="宋体"/>
                <w:lang w:val="en-US"/>
              </w:rPr>
            </w:pPr>
            <w:r>
              <w:rPr>
                <w:rFonts w:hint="default" w:ascii="Times New Roman" w:hAnsi="宋体" w:eastAsia="宋体" w:cs="宋体"/>
                <w:kern w:val="2"/>
                <w:sz w:val="21"/>
                <w:szCs w:val="22"/>
                <w:lang w:val="en-US" w:eastAsia="zh-CN" w:bidi="ar-SA"/>
              </w:rPr>
              <w:t>Warning: Do not use benzene, diluents, gaseous organic solvents, or water to clean instruments to avoid damage.</w:t>
            </w:r>
          </w:p>
        </w:tc>
      </w:tr>
      <w:tr w14:paraId="736DE99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78" w:hRule="atLeast"/>
          <w:jc w:val="center"/>
        </w:trPr>
        <w:tc>
          <w:tcPr>
            <w:tcW w:w="880" w:type="dxa"/>
            <w:vMerge w:val="restart"/>
            <w:noWrap w:val="0"/>
            <w:vAlign w:val="center"/>
          </w:tcPr>
          <w:p w14:paraId="34F77357">
            <w:pPr>
              <w:rPr>
                <w:rFonts w:hint="default" w:ascii="宋体" w:hAnsi="宋体" w:cs="宋体"/>
                <w:lang w:val="en-US"/>
              </w:rPr>
            </w:pPr>
            <w:r>
              <w:rPr>
                <w:rFonts w:hint="default" w:ascii="Times New Roman" w:hAnsi="宋体" w:eastAsia="宋体" w:cs="宋体"/>
                <w:kern w:val="2"/>
                <w:sz w:val="21"/>
                <w:szCs w:val="22"/>
                <w:lang w:val="en-US" w:eastAsia="zh-CN" w:bidi="ar-SA"/>
              </w:rPr>
              <w:t>minute surface</w:t>
            </w:r>
          </w:p>
        </w:tc>
        <w:tc>
          <w:tcPr>
            <w:tcW w:w="6295" w:type="dxa"/>
            <w:noWrap w:val="0"/>
            <w:vAlign w:val="center"/>
          </w:tcPr>
          <w:p w14:paraId="1E79AFF1">
            <w:pPr>
              <w:rPr>
                <w:rFonts w:hint="default" w:ascii="宋体" w:hAnsi="宋体" w:cs="宋体"/>
                <w:lang w:val="en-US"/>
              </w:rPr>
            </w:pPr>
            <w:r>
              <w:rPr>
                <w:rFonts w:hint="default" w:ascii="Times New Roman" w:hAnsi="宋体" w:eastAsia="宋体" w:cs="宋体"/>
                <w:kern w:val="2"/>
                <w:sz w:val="21"/>
                <w:szCs w:val="22"/>
                <w:lang w:val="en-US" w:eastAsia="zh-CN" w:bidi="ar-SA"/>
              </w:rPr>
              <w:t>Please gently wipe the mirror surface with a dedicated cleaning cloth or a clean soft cloth.</w:t>
            </w:r>
          </w:p>
        </w:tc>
      </w:tr>
      <w:tr w14:paraId="5A1D4D9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74" w:hRule="atLeast"/>
          <w:jc w:val="center"/>
        </w:trPr>
        <w:tc>
          <w:tcPr>
            <w:tcW w:w="880" w:type="dxa"/>
            <w:vMerge w:val="continue"/>
            <w:shd w:val="clear" w:color="auto" w:fill="auto"/>
            <w:noWrap w:val="0"/>
            <w:vAlign w:val="center"/>
          </w:tcPr>
          <w:p w14:paraId="28E0B6D7">
            <w:pPr>
              <w:rPr>
                <w:rFonts w:hint="eastAsia" w:ascii="宋体" w:hAnsi="宋体" w:cs="宋体"/>
              </w:rPr>
            </w:pPr>
          </w:p>
        </w:tc>
        <w:tc>
          <w:tcPr>
            <w:tcW w:w="6295" w:type="dxa"/>
            <w:shd w:val="pct10" w:color="auto" w:fill="auto"/>
            <w:noWrap w:val="0"/>
            <w:vAlign w:val="center"/>
          </w:tcPr>
          <w:p w14:paraId="5FBDAE50">
            <w:pPr>
              <w:rPr>
                <w:rFonts w:hint="default" w:ascii="宋体" w:hAnsi="宋体" w:cs="宋体"/>
                <w:lang w:val="en-US"/>
              </w:rPr>
            </w:pPr>
            <w:r>
              <w:rPr>
                <w:rFonts w:hint="default" w:ascii="Times New Roman" w:hAnsi="宋体" w:eastAsia="宋体" w:cs="宋体"/>
                <w:kern w:val="2"/>
                <w:sz w:val="21"/>
                <w:szCs w:val="22"/>
                <w:lang w:val="en-US" w:eastAsia="zh-CN" w:bidi="ar-SA"/>
              </w:rPr>
              <w:t>Note: Do not wipe the lens with your hands or other unclean fabrics to avoid scratching the surface.</w:t>
            </w:r>
          </w:p>
        </w:tc>
      </w:tr>
    </w:tbl>
    <w:p w14:paraId="034225A5">
      <w:pPr>
        <w:rPr>
          <w:rFonts w:hint="eastAsia" w:ascii="宋体" w:hAnsi="宋体" w:cs="宋体"/>
        </w:rPr>
      </w:pPr>
    </w:p>
    <w:p w14:paraId="3DCE56E8">
      <w:pPr>
        <w:pStyle w:val="4"/>
        <w:spacing w:before="240" w:after="240" w:line="240" w:lineRule="auto"/>
        <w:rPr>
          <w:rFonts w:hint="default" w:ascii="宋体" w:hAnsi="宋体"/>
          <w:lang w:val="en-US"/>
        </w:rPr>
      </w:pPr>
      <w:bookmarkStart w:id="65" w:name="_Toc422909552"/>
      <w:bookmarkStart w:id="66" w:name="_Toc90393120"/>
      <w:bookmarkStart w:id="67" w:name="_Toc422918647"/>
      <w:r>
        <w:rPr>
          <w:rFonts w:hint="default" w:ascii="Times New Roman" w:hAnsi="宋体" w:eastAsia="宋体" w:cs="Times New Roman"/>
          <w:b/>
          <w:bCs/>
          <w:kern w:val="2"/>
          <w:sz w:val="32"/>
          <w:szCs w:val="32"/>
          <w:lang w:val="en-US" w:eastAsia="zh-CN" w:bidi="ar-SA"/>
        </w:rPr>
        <w:t>7.2 Performance Parameter Table</w:t>
      </w:r>
      <w:bookmarkEnd w:id="65"/>
      <w:bookmarkEnd w:id="66"/>
      <w:bookmarkEnd w:id="67"/>
    </w:p>
    <w:tbl>
      <w:tblPr>
        <w:tblStyle w:val="16"/>
        <w:tblW w:w="7362" w:type="dxa"/>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775"/>
        <w:gridCol w:w="5587"/>
      </w:tblGrid>
      <w:tr w14:paraId="726830C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25053052">
            <w:pPr>
              <w:rPr>
                <w:rFonts w:hint="default" w:ascii="宋体" w:hAnsi="宋体" w:cs="黑体"/>
                <w:lang w:val="en-US"/>
              </w:rPr>
            </w:pPr>
            <w:r>
              <w:rPr>
                <w:rFonts w:hint="default" w:ascii="Times New Roman" w:hAnsi="宋体" w:eastAsia="宋体" w:cs="黑体"/>
                <w:kern w:val="2"/>
                <w:sz w:val="21"/>
                <w:szCs w:val="22"/>
                <w:lang w:val="en-US" w:eastAsia="zh-CN" w:bidi="ar-SA"/>
              </w:rPr>
              <w:t>performance parameter</w:t>
            </w:r>
          </w:p>
        </w:tc>
      </w:tr>
      <w:tr w14:paraId="25DA8A1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440D2C28">
            <w:pPr>
              <w:rPr>
                <w:rFonts w:hint="default" w:ascii="宋体" w:hAnsi="宋体" w:cs="宋体"/>
                <w:lang w:val="en-US"/>
              </w:rPr>
            </w:pPr>
            <w:r>
              <w:rPr>
                <w:rFonts w:hint="default" w:ascii="Times New Roman" w:hAnsi="宋体" w:eastAsia="宋体" w:cs="宋体"/>
                <w:kern w:val="2"/>
                <w:sz w:val="21"/>
                <w:szCs w:val="22"/>
                <w:lang w:val="en-US" w:eastAsia="zh-CN" w:bidi="ar-SA"/>
              </w:rPr>
              <w:t>Types of gases</w:t>
            </w:r>
          </w:p>
        </w:tc>
        <w:tc>
          <w:tcPr>
            <w:tcW w:w="5587" w:type="dxa"/>
            <w:noWrap w:val="0"/>
            <w:vAlign w:val="top"/>
          </w:tcPr>
          <w:p w14:paraId="4E856AD5">
            <w:pPr>
              <w:rPr>
                <w:rFonts w:hint="default" w:ascii="宋体" w:hAnsi="宋体" w:cs="宋体"/>
                <w:lang w:val="en-US"/>
              </w:rPr>
            </w:pPr>
            <w:r>
              <w:rPr>
                <w:rFonts w:hint="default" w:ascii="Times New Roman" w:hAnsi="宋体" w:eastAsia="宋体" w:cs="宋体"/>
                <w:kern w:val="2"/>
                <w:sz w:val="21"/>
                <w:szCs w:val="22"/>
                <w:lang w:val="en-US" w:eastAsia="zh-CN" w:bidi="ar-SA"/>
              </w:rPr>
              <w:t>Methane (CH4)</w:t>
            </w:r>
          </w:p>
        </w:tc>
      </w:tr>
      <w:tr w14:paraId="2946DCF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66CE82F8">
            <w:pPr>
              <w:rPr>
                <w:rFonts w:hint="default" w:ascii="宋体" w:hAnsi="宋体" w:cs="宋体"/>
                <w:lang w:val="en-US"/>
              </w:rPr>
            </w:pPr>
            <w:r>
              <w:rPr>
                <w:rFonts w:hint="default" w:ascii="Times New Roman" w:hAnsi="宋体" w:eastAsia="宋体" w:cs="宋体"/>
                <w:kern w:val="2"/>
                <w:sz w:val="21"/>
                <w:szCs w:val="22"/>
                <w:lang w:val="en-US" w:eastAsia="zh-CN" w:bidi="ar-SA"/>
              </w:rPr>
              <w:t>test method</w:t>
            </w:r>
          </w:p>
        </w:tc>
        <w:tc>
          <w:tcPr>
            <w:tcW w:w="5587" w:type="dxa"/>
            <w:noWrap w:val="0"/>
            <w:vAlign w:val="top"/>
          </w:tcPr>
          <w:p w14:paraId="6CEC5884">
            <w:pPr>
              <w:rPr>
                <w:rFonts w:hint="default" w:ascii="宋体" w:hAnsi="宋体" w:cs="宋体"/>
                <w:lang w:val="en-US"/>
              </w:rPr>
            </w:pPr>
            <w:r>
              <w:rPr>
                <w:rFonts w:hint="default" w:ascii="Times New Roman" w:hAnsi="宋体" w:eastAsia="宋体" w:cs="宋体"/>
                <w:kern w:val="2"/>
                <w:sz w:val="21"/>
                <w:szCs w:val="22"/>
                <w:lang w:val="en-US" w:eastAsia="zh-CN" w:bidi="ar-SA"/>
              </w:rPr>
              <w:t>Laser Absorption Spectroscopy Technology</w:t>
            </w:r>
          </w:p>
        </w:tc>
      </w:tr>
      <w:tr w14:paraId="397EECB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6ECE92C0">
            <w:pPr>
              <w:rPr>
                <w:rFonts w:hint="default" w:ascii="宋体" w:hAnsi="宋体" w:cs="宋体"/>
                <w:lang w:val="en-US"/>
              </w:rPr>
            </w:pPr>
            <w:r>
              <w:rPr>
                <w:rFonts w:hint="default" w:ascii="Times New Roman" w:hAnsi="宋体" w:eastAsia="宋体" w:cs="宋体"/>
                <w:kern w:val="2"/>
                <w:sz w:val="21"/>
                <w:szCs w:val="22"/>
                <w:lang w:val="en-US" w:eastAsia="zh-CN" w:bidi="ar-SA"/>
              </w:rPr>
              <w:t>Detection range</w:t>
            </w:r>
          </w:p>
        </w:tc>
        <w:tc>
          <w:tcPr>
            <w:tcW w:w="5587" w:type="dxa"/>
            <w:noWrap w:val="0"/>
            <w:vAlign w:val="top"/>
          </w:tcPr>
          <w:p w14:paraId="71757BF5">
            <w:pPr>
              <w:rPr>
                <w:rFonts w:hint="default" w:ascii="宋体" w:hAnsi="宋体" w:cs="宋体"/>
                <w:lang w:val="en-US"/>
              </w:rPr>
            </w:pPr>
            <w:r>
              <w:rPr>
                <w:rFonts w:ascii="Times New Roman" w:hAnsi="宋体" w:eastAsia="宋体" w:cs="宋体"/>
                <w:kern w:val="2"/>
                <w:sz w:val="21"/>
                <w:szCs w:val="22"/>
                <w:lang w:val="en-US" w:eastAsia="zh-CN" w:bidi="ar-SA"/>
              </w:rPr>
              <w:t>0～5000ppm.m</w:t>
            </w:r>
          </w:p>
        </w:tc>
      </w:tr>
      <w:tr w14:paraId="3EB8D59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B017FD9">
            <w:pPr>
              <w:rPr>
                <w:rFonts w:hint="default" w:ascii="宋体" w:hAnsi="宋体" w:cs="宋体"/>
                <w:lang w:val="en-US"/>
              </w:rPr>
            </w:pPr>
            <w:r>
              <w:rPr>
                <w:rFonts w:hint="default" w:ascii="Times New Roman" w:hAnsi="宋体" w:eastAsia="宋体" w:cs="宋体"/>
                <w:kern w:val="2"/>
                <w:sz w:val="21"/>
                <w:szCs w:val="22"/>
                <w:lang w:val="en-US" w:eastAsia="zh-CN" w:bidi="ar-SA"/>
              </w:rPr>
              <w:t>Detection distance</w:t>
            </w:r>
          </w:p>
        </w:tc>
        <w:tc>
          <w:tcPr>
            <w:tcW w:w="5587" w:type="dxa"/>
            <w:noWrap w:val="0"/>
            <w:vAlign w:val="top"/>
          </w:tcPr>
          <w:p w14:paraId="347FFB82">
            <w:pPr>
              <w:rPr>
                <w:rFonts w:hint="default" w:ascii="宋体" w:hAnsi="宋体" w:cs="宋体"/>
                <w:lang w:val="en-US"/>
              </w:rPr>
            </w:pPr>
            <w:r>
              <w:rPr>
                <w:rFonts w:hint="default" w:ascii="Times New Roman" w:hAnsi="宋体" w:eastAsia="宋体" w:cs="宋体"/>
                <w:kern w:val="2"/>
                <w:sz w:val="21"/>
                <w:szCs w:val="22"/>
                <w:lang w:val="en-US" w:eastAsia="zh-CN" w:bidi="ar-SA"/>
              </w:rPr>
              <w:t>(0~100) meters</w:t>
            </w:r>
          </w:p>
        </w:tc>
      </w:tr>
      <w:tr w14:paraId="66D4E29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7CA46636">
            <w:pPr>
              <w:rPr>
                <w:rFonts w:hint="default" w:ascii="宋体" w:hAnsi="宋体" w:cs="宋体"/>
                <w:lang w:val="en-US"/>
              </w:rPr>
            </w:pPr>
            <w:r>
              <w:rPr>
                <w:rFonts w:hint="default" w:ascii="Times New Roman" w:hAnsi="宋体" w:eastAsia="宋体" w:cs="宋体"/>
                <w:kern w:val="2"/>
                <w:sz w:val="21"/>
                <w:szCs w:val="22"/>
                <w:lang w:val="en-US" w:eastAsia="zh-CN" w:bidi="ar-SA"/>
              </w:rPr>
              <w:t>response time</w:t>
            </w:r>
          </w:p>
        </w:tc>
        <w:tc>
          <w:tcPr>
            <w:tcW w:w="5587" w:type="dxa"/>
            <w:noWrap w:val="0"/>
            <w:vAlign w:val="top"/>
          </w:tcPr>
          <w:p w14:paraId="7D53A3C4">
            <w:pPr>
              <w:rPr>
                <w:rFonts w:hint="default" w:ascii="宋体" w:hAnsi="宋体" w:cs="宋体"/>
                <w:lang w:val="en-US"/>
              </w:rPr>
            </w:pPr>
            <w:r>
              <w:rPr>
                <w:rFonts w:hint="default" w:ascii="Times New Roman" w:hAnsi="宋体" w:eastAsia="宋体" w:cs="宋体"/>
                <w:kern w:val="2"/>
                <w:sz w:val="21"/>
                <w:szCs w:val="22"/>
                <w:lang w:val="en-US" w:eastAsia="zh-CN" w:bidi="ar-SA"/>
              </w:rPr>
              <w:t>1 second</w:t>
            </w:r>
          </w:p>
        </w:tc>
      </w:tr>
      <w:tr w14:paraId="73080A9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03CF6C30">
            <w:pPr>
              <w:rPr>
                <w:rFonts w:hint="default" w:ascii="宋体" w:hAnsi="宋体" w:cs="黑体"/>
                <w:lang w:val="en-US"/>
              </w:rPr>
            </w:pPr>
            <w:r>
              <w:rPr>
                <w:rFonts w:hint="default" w:ascii="Times New Roman" w:hAnsi="宋体" w:eastAsia="宋体" w:cs="黑体"/>
                <w:kern w:val="2"/>
                <w:sz w:val="21"/>
                <w:szCs w:val="22"/>
                <w:lang w:val="en-US" w:eastAsia="zh-CN" w:bidi="ar-SA"/>
              </w:rPr>
              <w:t>functional parameter</w:t>
            </w:r>
          </w:p>
        </w:tc>
      </w:tr>
      <w:tr w14:paraId="7FACD41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1775" w:type="dxa"/>
            <w:noWrap w:val="0"/>
            <w:vAlign w:val="top"/>
          </w:tcPr>
          <w:p w14:paraId="1F392B57">
            <w:pPr>
              <w:rPr>
                <w:rFonts w:hint="default" w:ascii="宋体" w:hAnsi="宋体" w:cs="宋体"/>
                <w:lang w:val="en-US"/>
              </w:rPr>
            </w:pPr>
            <w:r>
              <w:rPr>
                <w:rFonts w:hint="default" w:ascii="Times New Roman" w:hAnsi="宋体" w:eastAsia="宋体" w:cs="宋体"/>
                <w:kern w:val="2"/>
                <w:sz w:val="21"/>
                <w:szCs w:val="22"/>
                <w:lang w:val="en-US" w:eastAsia="zh-CN" w:bidi="ar-SA"/>
              </w:rPr>
              <w:t>Output method</w:t>
            </w:r>
          </w:p>
        </w:tc>
        <w:tc>
          <w:tcPr>
            <w:tcW w:w="5587" w:type="dxa"/>
            <w:noWrap w:val="0"/>
            <w:vAlign w:val="top"/>
          </w:tcPr>
          <w:p w14:paraId="60C5E552">
            <w:pPr>
              <w:rPr>
                <w:rFonts w:hint="default" w:ascii="宋体" w:hAnsi="宋体" w:cs="宋体"/>
                <w:lang w:val="en-US"/>
              </w:rPr>
            </w:pPr>
            <w:r>
              <w:rPr>
                <w:rFonts w:hint="default" w:ascii="Times New Roman" w:hAnsi="宋体" w:eastAsia="宋体" w:cs="宋体"/>
                <w:kern w:val="2"/>
                <w:sz w:val="21"/>
                <w:szCs w:val="22"/>
                <w:lang w:val="en-US" w:eastAsia="zh-CN" w:bidi="ar-SA"/>
              </w:rPr>
              <w:t>4-20mA</w:t>
            </w:r>
          </w:p>
          <w:p w14:paraId="3B0FB799">
            <w:pPr>
              <w:rPr>
                <w:rFonts w:hint="default" w:ascii="宋体" w:hAnsi="宋体" w:cs="宋体"/>
                <w:lang w:val="en-US"/>
              </w:rPr>
            </w:pPr>
            <w:r>
              <w:rPr>
                <w:rFonts w:hint="default" w:ascii="Times New Roman" w:hAnsi="宋体" w:eastAsia="宋体" w:cs="宋体"/>
                <w:kern w:val="2"/>
                <w:sz w:val="21"/>
                <w:szCs w:val="22"/>
                <w:lang w:val="en-US" w:eastAsia="zh-CN" w:bidi="ar-SA"/>
              </w:rPr>
              <w:t>Beam obstruction or signal too weak: 2mA</w:t>
            </w:r>
          </w:p>
        </w:tc>
      </w:tr>
      <w:tr w14:paraId="715D04C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04818B13">
            <w:pPr>
              <w:rPr>
                <w:rFonts w:hint="default" w:ascii="宋体" w:hAnsi="宋体" w:cs="宋体"/>
                <w:lang w:val="en-US"/>
              </w:rPr>
            </w:pPr>
            <w:r>
              <w:rPr>
                <w:rFonts w:hint="default" w:ascii="Times New Roman" w:hAnsi="宋体" w:eastAsia="宋体" w:cs="宋体"/>
                <w:kern w:val="2"/>
                <w:sz w:val="21"/>
                <w:szCs w:val="22"/>
                <w:lang w:val="en-US" w:eastAsia="zh-CN" w:bidi="ar-SA"/>
              </w:rPr>
              <w:t>demarcate</w:t>
            </w:r>
          </w:p>
        </w:tc>
        <w:tc>
          <w:tcPr>
            <w:tcW w:w="5587" w:type="dxa"/>
            <w:noWrap w:val="0"/>
            <w:vAlign w:val="top"/>
          </w:tcPr>
          <w:p w14:paraId="784FE0A6">
            <w:pPr>
              <w:rPr>
                <w:rFonts w:hint="default" w:ascii="宋体" w:hAnsi="宋体" w:cs="宋体"/>
                <w:lang w:val="en-US"/>
              </w:rPr>
            </w:pPr>
            <w:r>
              <w:rPr>
                <w:rFonts w:hint="default" w:ascii="Times New Roman" w:hAnsi="宋体" w:eastAsia="宋体" w:cs="宋体"/>
                <w:kern w:val="2"/>
                <w:sz w:val="21"/>
                <w:szCs w:val="22"/>
                <w:lang w:val="en-US" w:eastAsia="zh-CN" w:bidi="ar-SA"/>
              </w:rPr>
              <w:t>Calibrated at factory</w:t>
            </w:r>
          </w:p>
        </w:tc>
      </w:tr>
      <w:tr w14:paraId="653B45D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FB14828">
            <w:pPr>
              <w:rPr>
                <w:rFonts w:hint="default" w:ascii="宋体" w:hAnsi="宋体" w:cs="宋体"/>
                <w:lang w:val="en-US"/>
              </w:rPr>
            </w:pPr>
            <w:r>
              <w:rPr>
                <w:rFonts w:hint="default" w:ascii="Times New Roman" w:hAnsi="宋体" w:eastAsia="宋体" w:cs="宋体"/>
                <w:kern w:val="2"/>
                <w:sz w:val="21"/>
                <w:szCs w:val="22"/>
                <w:lang w:val="en-US" w:eastAsia="zh-CN" w:bidi="ar-SA"/>
              </w:rPr>
              <w:t>calibration</w:t>
            </w:r>
          </w:p>
        </w:tc>
        <w:tc>
          <w:tcPr>
            <w:tcW w:w="5587" w:type="dxa"/>
            <w:noWrap w:val="0"/>
            <w:vAlign w:val="top"/>
          </w:tcPr>
          <w:p w14:paraId="1F8CA41A">
            <w:pPr>
              <w:rPr>
                <w:rFonts w:hint="default" w:ascii="宋体" w:hAnsi="宋体" w:cs="宋体"/>
                <w:lang w:val="en-US"/>
              </w:rPr>
            </w:pPr>
            <w:r>
              <w:rPr>
                <w:rFonts w:hint="default" w:ascii="Times New Roman" w:hAnsi="宋体" w:eastAsia="宋体" w:cs="宋体"/>
                <w:kern w:val="2"/>
                <w:sz w:val="21"/>
                <w:szCs w:val="22"/>
                <w:lang w:val="en-US" w:eastAsia="zh-CN" w:bidi="ar-SA"/>
              </w:rPr>
              <w:t>Built-in automatic calibration device</w:t>
            </w:r>
          </w:p>
        </w:tc>
      </w:tr>
      <w:tr w14:paraId="4E10D0F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413900CB">
            <w:pPr>
              <w:rPr>
                <w:rFonts w:hint="default" w:ascii="宋体" w:hAnsi="宋体" w:cs="黑体"/>
                <w:lang w:val="en-US"/>
              </w:rPr>
            </w:pPr>
            <w:r>
              <w:rPr>
                <w:rFonts w:hint="default" w:ascii="Times New Roman" w:hAnsi="宋体" w:eastAsia="宋体" w:cs="黑体"/>
                <w:kern w:val="2"/>
                <w:sz w:val="21"/>
                <w:szCs w:val="22"/>
                <w:lang w:val="en-US" w:eastAsia="zh-CN" w:bidi="ar-SA"/>
              </w:rPr>
              <w:t>External appearance parameters</w:t>
            </w:r>
          </w:p>
        </w:tc>
      </w:tr>
      <w:tr w14:paraId="751557B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C9D36B5">
            <w:pPr>
              <w:rPr>
                <w:rFonts w:hint="default" w:ascii="宋体" w:hAnsi="宋体" w:cs="宋体"/>
                <w:lang w:val="en-US"/>
              </w:rPr>
            </w:pPr>
            <w:r>
              <w:rPr>
                <w:rFonts w:hint="default" w:ascii="Times New Roman" w:hAnsi="宋体" w:eastAsia="宋体" w:cs="宋体"/>
                <w:kern w:val="2"/>
                <w:sz w:val="21"/>
                <w:szCs w:val="22"/>
                <w:lang w:val="en-US" w:eastAsia="zh-CN" w:bidi="ar-SA"/>
              </w:rPr>
              <w:t>product size</w:t>
            </w:r>
          </w:p>
        </w:tc>
        <w:tc>
          <w:tcPr>
            <w:tcW w:w="5587" w:type="dxa"/>
            <w:noWrap w:val="0"/>
            <w:vAlign w:val="top"/>
          </w:tcPr>
          <w:p w14:paraId="4ED339F5">
            <w:pPr>
              <w:rPr>
                <w:rFonts w:hint="default" w:ascii="宋体" w:hAnsi="宋体" w:cs="宋体"/>
                <w:lang w:val="en-US"/>
              </w:rPr>
            </w:pPr>
            <w:r>
              <w:rPr>
                <w:rFonts w:hint="default" w:ascii="Times New Roman" w:hAnsi="宋体" w:eastAsia="宋体" w:cs="宋体"/>
                <w:kern w:val="2"/>
                <w:sz w:val="21"/>
                <w:szCs w:val="22"/>
                <w:lang w:val="en-US" w:eastAsia="zh-CN" w:bidi="ar-SA"/>
              </w:rPr>
              <w:t>Length×Width×Height: 338×155×155 (transceiver device)</w:t>
            </w:r>
          </w:p>
        </w:tc>
      </w:tr>
      <w:tr w14:paraId="63E54C8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58CCD0B8">
            <w:pPr>
              <w:rPr>
                <w:rFonts w:hint="default" w:ascii="宋体" w:hAnsi="宋体" w:cs="宋体"/>
                <w:lang w:val="en-US"/>
              </w:rPr>
            </w:pPr>
            <w:r>
              <w:rPr>
                <w:rFonts w:hint="default" w:ascii="Times New Roman" w:hAnsi="宋体" w:eastAsia="宋体" w:cs="宋体"/>
                <w:kern w:val="2"/>
                <w:sz w:val="21"/>
                <w:szCs w:val="22"/>
                <w:lang w:val="en-US" w:eastAsia="zh-CN" w:bidi="ar-SA"/>
              </w:rPr>
              <w:t>Net product weight</w:t>
            </w:r>
          </w:p>
        </w:tc>
        <w:tc>
          <w:tcPr>
            <w:tcW w:w="5587" w:type="dxa"/>
            <w:noWrap w:val="0"/>
            <w:vAlign w:val="top"/>
          </w:tcPr>
          <w:p w14:paraId="0E227F8B">
            <w:pPr>
              <w:rPr>
                <w:rFonts w:hint="default" w:ascii="宋体" w:hAnsi="宋体" w:cs="宋体"/>
                <w:lang w:val="en-US"/>
              </w:rPr>
            </w:pPr>
            <w:r>
              <w:rPr>
                <w:rFonts w:hint="default" w:ascii="Times New Roman" w:hAnsi="宋体" w:eastAsia="宋体" w:cs="宋体"/>
                <w:kern w:val="2"/>
                <w:sz w:val="21"/>
                <w:szCs w:val="22"/>
                <w:lang w:val="en-US" w:eastAsia="zh-CN" w:bidi="ar-SA"/>
              </w:rPr>
              <w:t>25±0.5Kg</w:t>
            </w:r>
          </w:p>
        </w:tc>
      </w:tr>
      <w:tr w14:paraId="6F0593C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FB5E1BD">
            <w:pPr>
              <w:rPr>
                <w:rFonts w:hint="default" w:ascii="宋体" w:hAnsi="宋体" w:cs="宋体"/>
                <w:lang w:val="en-US"/>
              </w:rPr>
            </w:pPr>
            <w:r>
              <w:rPr>
                <w:rFonts w:hint="default" w:ascii="Times New Roman" w:hAnsi="宋体" w:eastAsia="宋体" w:cs="宋体"/>
                <w:kern w:val="2"/>
                <w:sz w:val="21"/>
                <w:szCs w:val="22"/>
                <w:lang w:val="en-US" w:eastAsia="zh-CN" w:bidi="ar-SA"/>
              </w:rPr>
              <w:t>power supply mode</w:t>
            </w:r>
          </w:p>
        </w:tc>
        <w:tc>
          <w:tcPr>
            <w:tcW w:w="5587" w:type="dxa"/>
            <w:noWrap w:val="0"/>
            <w:vAlign w:val="top"/>
          </w:tcPr>
          <w:p w14:paraId="3BB3348B">
            <w:pPr>
              <w:rPr>
                <w:rFonts w:hint="default" w:ascii="宋体" w:hAnsi="宋体" w:cs="宋体"/>
                <w:lang w:val="en-US"/>
              </w:rPr>
            </w:pPr>
            <w:r>
              <w:rPr>
                <w:rFonts w:hint="default" w:ascii="Times New Roman" w:hAnsi="宋体" w:eastAsia="宋体" w:cs="宋体"/>
                <w:kern w:val="2"/>
                <w:sz w:val="21"/>
                <w:szCs w:val="22"/>
                <w:lang w:val="en-US" w:eastAsia="zh-CN" w:bidi="ar-SA"/>
              </w:rPr>
              <w:t>DC24V</w:t>
            </w:r>
          </w:p>
        </w:tc>
      </w:tr>
      <w:tr w14:paraId="0C8F8D9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clear" w:color="auto" w:fill="E6E6E6"/>
            <w:noWrap w:val="0"/>
            <w:vAlign w:val="top"/>
          </w:tcPr>
          <w:p w14:paraId="50F42ED3">
            <w:pPr>
              <w:rPr>
                <w:rFonts w:hint="default" w:ascii="宋体" w:hAnsi="宋体" w:cs="黑体"/>
                <w:lang w:val="en-US"/>
              </w:rPr>
            </w:pPr>
            <w:r>
              <w:rPr>
                <w:rFonts w:hint="default" w:ascii="Times New Roman" w:hAnsi="宋体" w:eastAsia="宋体" w:cs="黑体"/>
                <w:kern w:val="2"/>
                <w:sz w:val="21"/>
                <w:szCs w:val="22"/>
                <w:lang w:val="en-US" w:eastAsia="zh-CN" w:bidi="ar-SA"/>
              </w:rPr>
              <w:t>Electrical parameters</w:t>
            </w:r>
          </w:p>
        </w:tc>
      </w:tr>
      <w:tr w14:paraId="6BC16D1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4E83D9BE">
            <w:pPr>
              <w:rPr>
                <w:rFonts w:hint="default" w:ascii="宋体" w:hAnsi="宋体" w:cs="宋体"/>
                <w:lang w:val="en-US"/>
              </w:rPr>
            </w:pPr>
            <w:r>
              <w:rPr>
                <w:rFonts w:hint="default" w:ascii="Times New Roman" w:hAnsi="宋体" w:eastAsia="宋体" w:cs="宋体"/>
                <w:kern w:val="2"/>
                <w:sz w:val="21"/>
                <w:szCs w:val="22"/>
                <w:lang w:val="en-US" w:eastAsia="zh-CN" w:bidi="ar-SA"/>
              </w:rPr>
              <w:t>rated voltage</w:t>
            </w:r>
          </w:p>
        </w:tc>
        <w:tc>
          <w:tcPr>
            <w:tcW w:w="5587" w:type="dxa"/>
            <w:noWrap w:val="0"/>
            <w:vAlign w:val="top"/>
          </w:tcPr>
          <w:p w14:paraId="0F021755">
            <w:pPr>
              <w:rPr>
                <w:rFonts w:hint="default" w:ascii="宋体" w:hAnsi="宋体" w:cs="宋体"/>
                <w:lang w:val="en-US"/>
              </w:rPr>
            </w:pPr>
            <w:r>
              <w:rPr>
                <w:rFonts w:hint="default" w:ascii="Times New Roman" w:hAnsi="宋体" w:eastAsia="宋体" w:cs="宋体"/>
                <w:kern w:val="2"/>
                <w:sz w:val="21"/>
                <w:szCs w:val="22"/>
                <w:lang w:val="en-US" w:eastAsia="zh-CN" w:bidi="ar-SA"/>
              </w:rPr>
              <w:t>24V</w:t>
            </w:r>
          </w:p>
        </w:tc>
      </w:tr>
      <w:tr w14:paraId="3008F28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206FC589">
            <w:pPr>
              <w:rPr>
                <w:rFonts w:hint="default" w:ascii="宋体" w:hAnsi="宋体" w:cs="宋体"/>
                <w:lang w:val="en-US"/>
              </w:rPr>
            </w:pPr>
            <w:r>
              <w:rPr>
                <w:rFonts w:hint="default" w:ascii="Times New Roman" w:hAnsi="宋体" w:eastAsia="宋体" w:cs="宋体"/>
                <w:kern w:val="2"/>
                <w:sz w:val="21"/>
                <w:szCs w:val="22"/>
                <w:lang w:val="en-US" w:eastAsia="zh-CN" w:bidi="ar-SA"/>
              </w:rPr>
              <w:t>rated current</w:t>
            </w:r>
          </w:p>
        </w:tc>
        <w:tc>
          <w:tcPr>
            <w:tcW w:w="5587" w:type="dxa"/>
            <w:noWrap w:val="0"/>
            <w:vAlign w:val="top"/>
          </w:tcPr>
          <w:p w14:paraId="45DBBA0F">
            <w:pPr>
              <w:rPr>
                <w:rFonts w:hint="default" w:ascii="宋体" w:hAnsi="宋体" w:cs="宋体"/>
                <w:lang w:val="en-US"/>
              </w:rPr>
            </w:pPr>
            <w:r>
              <w:rPr>
                <w:rFonts w:hint="default" w:ascii="Times New Roman" w:hAnsi="宋体" w:eastAsia="宋体" w:cs="宋体"/>
                <w:kern w:val="2"/>
                <w:sz w:val="21"/>
                <w:szCs w:val="22"/>
                <w:lang w:val="en-US" w:eastAsia="zh-CN" w:bidi="ar-SA"/>
              </w:rPr>
              <w:t>150mA</w:t>
            </w:r>
          </w:p>
        </w:tc>
      </w:tr>
      <w:tr w14:paraId="2C8F72C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203EBDCB">
            <w:pPr>
              <w:rPr>
                <w:rFonts w:hint="default" w:ascii="宋体" w:hAnsi="宋体" w:cs="宋体"/>
                <w:lang w:val="en-US"/>
              </w:rPr>
            </w:pPr>
            <w:r>
              <w:rPr>
                <w:rFonts w:hint="default" w:ascii="Times New Roman" w:hAnsi="宋体" w:eastAsia="宋体" w:cs="宋体"/>
                <w:kern w:val="2"/>
                <w:sz w:val="21"/>
                <w:szCs w:val="22"/>
                <w:lang w:val="en-US" w:eastAsia="zh-CN" w:bidi="ar-SA"/>
              </w:rPr>
              <w:t>maximum current</w:t>
            </w:r>
          </w:p>
        </w:tc>
        <w:tc>
          <w:tcPr>
            <w:tcW w:w="5587" w:type="dxa"/>
            <w:noWrap w:val="0"/>
            <w:vAlign w:val="top"/>
          </w:tcPr>
          <w:p w14:paraId="4A840B79">
            <w:pPr>
              <w:rPr>
                <w:rFonts w:hint="default" w:ascii="宋体" w:hAnsi="宋体" w:cs="宋体"/>
                <w:lang w:val="en-US"/>
              </w:rPr>
            </w:pPr>
            <w:r>
              <w:rPr>
                <w:rFonts w:hint="default" w:ascii="Times New Roman" w:hAnsi="宋体" w:eastAsia="宋体" w:cs="宋体"/>
                <w:kern w:val="2"/>
                <w:sz w:val="21"/>
                <w:szCs w:val="22"/>
                <w:lang w:val="en-US" w:eastAsia="zh-CN" w:bidi="ar-SA"/>
              </w:rPr>
              <w:t>0.6A</w:t>
            </w:r>
          </w:p>
        </w:tc>
      </w:tr>
      <w:tr w14:paraId="0D89898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24C472EE">
            <w:pPr>
              <w:rPr>
                <w:rFonts w:hint="default" w:ascii="宋体" w:hAnsi="宋体" w:cs="黑体"/>
                <w:lang w:val="en-US"/>
              </w:rPr>
            </w:pPr>
            <w:r>
              <w:rPr>
                <w:rFonts w:hint="default" w:ascii="Times New Roman" w:hAnsi="宋体" w:eastAsia="宋体" w:cs="黑体"/>
                <w:kern w:val="2"/>
                <w:sz w:val="21"/>
                <w:szCs w:val="22"/>
                <w:lang w:val="en-US" w:eastAsia="zh-CN" w:bidi="ar-SA"/>
              </w:rPr>
              <w:t>Work environment and configuration</w:t>
            </w:r>
          </w:p>
        </w:tc>
      </w:tr>
      <w:tr w14:paraId="6B55DF9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5AC4631E">
            <w:pPr>
              <w:rPr>
                <w:rFonts w:hint="default" w:ascii="宋体" w:hAnsi="宋体" w:cs="宋体"/>
                <w:lang w:val="en-US"/>
              </w:rPr>
            </w:pPr>
            <w:r>
              <w:rPr>
                <w:rFonts w:hint="default" w:ascii="Times New Roman" w:hAnsi="宋体" w:eastAsia="宋体" w:cs="宋体"/>
                <w:kern w:val="2"/>
                <w:sz w:val="21"/>
                <w:szCs w:val="22"/>
                <w:lang w:val="en-US" w:eastAsia="zh-CN" w:bidi="ar-SA"/>
              </w:rPr>
              <w:t>ambient temperature</w:t>
            </w:r>
          </w:p>
        </w:tc>
        <w:tc>
          <w:tcPr>
            <w:tcW w:w="5587" w:type="dxa"/>
            <w:noWrap w:val="0"/>
            <w:vAlign w:val="top"/>
          </w:tcPr>
          <w:p w14:paraId="0964B787">
            <w:pPr>
              <w:rPr>
                <w:rFonts w:hint="default" w:ascii="宋体" w:hAnsi="宋体" w:cs="宋体"/>
                <w:lang w:val="en-US"/>
              </w:rPr>
            </w:pPr>
            <w:r>
              <w:rPr>
                <w:rFonts w:hint="default" w:ascii="Times New Roman" w:hAnsi="宋体" w:eastAsia="宋体" w:cs="宋体"/>
                <w:kern w:val="2"/>
                <w:sz w:val="21"/>
                <w:szCs w:val="22"/>
                <w:lang w:val="en-US" w:eastAsia="zh-CN" w:bidi="ar-SA"/>
              </w:rPr>
              <w:t>（-40～+70）℃</w:t>
            </w:r>
          </w:p>
        </w:tc>
      </w:tr>
      <w:tr w14:paraId="090037F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6CD32820">
            <w:pPr>
              <w:rPr>
                <w:rFonts w:hint="default" w:ascii="宋体" w:hAnsi="宋体" w:cs="宋体"/>
                <w:lang w:val="en-US"/>
              </w:rPr>
            </w:pPr>
            <w:r>
              <w:rPr>
                <w:rFonts w:hint="default" w:ascii="Times New Roman" w:hAnsi="宋体" w:eastAsia="宋体" w:cs="宋体"/>
                <w:kern w:val="2"/>
                <w:sz w:val="21"/>
                <w:szCs w:val="22"/>
                <w:lang w:val="en-US" w:eastAsia="zh-CN" w:bidi="ar-SA"/>
              </w:rPr>
              <w:t>ambient humidity</w:t>
            </w:r>
          </w:p>
        </w:tc>
        <w:tc>
          <w:tcPr>
            <w:tcW w:w="5587" w:type="dxa"/>
            <w:noWrap w:val="0"/>
            <w:vAlign w:val="top"/>
          </w:tcPr>
          <w:p w14:paraId="461DF2E3">
            <w:pPr>
              <w:rPr>
                <w:rFonts w:hint="default" w:ascii="宋体" w:hAnsi="宋体" w:cs="宋体"/>
                <w:lang w:val="en-US"/>
              </w:rPr>
            </w:pPr>
            <w:r>
              <w:rPr>
                <w:rFonts w:hint="default" w:ascii="Times New Roman" w:hAnsi="宋体" w:eastAsia="宋体" w:cs="宋体"/>
                <w:kern w:val="2"/>
                <w:sz w:val="21"/>
                <w:szCs w:val="22"/>
                <w:lang w:val="en-US" w:eastAsia="zh-CN" w:bidi="ar-SA"/>
              </w:rPr>
              <w:t>(0–90)% RH, no condensation</w:t>
            </w:r>
          </w:p>
        </w:tc>
      </w:tr>
      <w:tr w14:paraId="260BC9C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7142078">
            <w:pPr>
              <w:rPr>
                <w:rFonts w:hint="default" w:ascii="宋体" w:hAnsi="宋体" w:cs="宋体"/>
                <w:lang w:val="en-US"/>
              </w:rPr>
            </w:pPr>
            <w:r>
              <w:rPr>
                <w:rFonts w:hint="default" w:ascii="Times New Roman" w:hAnsi="宋体" w:eastAsia="宋体" w:cs="宋体"/>
                <w:kern w:val="2"/>
                <w:sz w:val="21"/>
                <w:szCs w:val="22"/>
                <w:lang w:val="en-US" w:eastAsia="zh-CN" w:bidi="ar-SA"/>
              </w:rPr>
              <w:t>atmos</w:t>
            </w:r>
          </w:p>
        </w:tc>
        <w:tc>
          <w:tcPr>
            <w:tcW w:w="5587" w:type="dxa"/>
            <w:noWrap w:val="0"/>
            <w:vAlign w:val="top"/>
          </w:tcPr>
          <w:p w14:paraId="7C472785">
            <w:pPr>
              <w:rPr>
                <w:rFonts w:hint="default" w:ascii="宋体" w:hAnsi="宋体" w:cs="宋体"/>
                <w:lang w:val="en-US"/>
              </w:rPr>
            </w:pPr>
            <w:r>
              <w:rPr>
                <w:rFonts w:hint="default" w:ascii="Times New Roman" w:hAnsi="宋体" w:eastAsia="宋体" w:cs="宋体"/>
                <w:kern w:val="2"/>
                <w:sz w:val="21"/>
                <w:szCs w:val="22"/>
                <w:lang w:val="en-US" w:eastAsia="zh-CN" w:bidi="ar-SA"/>
              </w:rPr>
              <w:t>70 KPa ～ 106 KPa</w:t>
            </w:r>
          </w:p>
        </w:tc>
      </w:tr>
      <w:tr w14:paraId="2E1EBEF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clear" w:color="auto" w:fill="D9D9D9"/>
            <w:noWrap w:val="0"/>
            <w:vAlign w:val="top"/>
          </w:tcPr>
          <w:p w14:paraId="6684F217">
            <w:pPr>
              <w:rPr>
                <w:rFonts w:hint="default" w:ascii="宋体" w:hAnsi="宋体" w:cs="黑体"/>
                <w:lang w:val="en-US"/>
              </w:rPr>
            </w:pPr>
            <w:r>
              <w:rPr>
                <w:rFonts w:hint="default" w:ascii="Times New Roman" w:hAnsi="宋体" w:eastAsia="宋体" w:cs="黑体"/>
                <w:kern w:val="2"/>
                <w:sz w:val="21"/>
                <w:szCs w:val="22"/>
                <w:lang w:val="en-US" w:eastAsia="zh-CN" w:bidi="ar-SA"/>
              </w:rPr>
              <w:t>Intrinsic security parameter</w:t>
            </w:r>
          </w:p>
        </w:tc>
      </w:tr>
      <w:tr w14:paraId="0B85F9A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2AC3C11A">
            <w:pPr>
              <w:rPr>
                <w:rFonts w:hint="default" w:ascii="宋体" w:hAnsi="宋体" w:cs="宋体"/>
                <w:lang w:val="en-US"/>
              </w:rPr>
            </w:pPr>
            <w:r>
              <w:rPr>
                <w:rFonts w:hint="default" w:ascii="Times New Roman" w:hAnsi="宋体" w:eastAsia="宋体" w:cs="宋体"/>
                <w:kern w:val="2"/>
                <w:sz w:val="21"/>
                <w:szCs w:val="22"/>
                <w:lang w:val="en-US" w:eastAsia="zh-CN" w:bidi="ar-SA"/>
              </w:rPr>
              <w:t>Power supply intrinsically safe parameters</w:t>
            </w:r>
          </w:p>
        </w:tc>
        <w:tc>
          <w:tcPr>
            <w:tcW w:w="5587" w:type="dxa"/>
            <w:noWrap w:val="0"/>
            <w:vAlign w:val="top"/>
          </w:tcPr>
          <w:p w14:paraId="4B94DE61">
            <w:pPr>
              <w:rPr>
                <w:rFonts w:hint="default" w:ascii="宋体" w:hAnsi="宋体" w:cs="宋体"/>
                <w:lang w:val="en-US"/>
              </w:rPr>
            </w:pPr>
            <w:r>
              <w:rPr>
                <w:rFonts w:hint="default" w:ascii="Times New Roman" w:hAnsi="宋体" w:eastAsia="宋体" w:cs="宋体"/>
                <w:kern w:val="2"/>
                <w:sz w:val="21"/>
                <w:szCs w:val="22"/>
                <w:lang w:val="en-US" w:eastAsia="zh-CN" w:bidi="ar-SA"/>
              </w:rPr>
              <w:t>Ui=28VDC;Ii=93mA;Ci=0;Li=0;Pi=0.65W</w:t>
            </w:r>
          </w:p>
        </w:tc>
      </w:tr>
    </w:tbl>
    <w:p w14:paraId="74D15911">
      <w:pPr>
        <w:ind w:firstLine="420"/>
        <w:rPr>
          <w:rFonts w:hint="default" w:ascii="宋体" w:hAnsi="宋体" w:cs="宋体"/>
          <w:lang w:val="en-US"/>
        </w:rPr>
      </w:pPr>
      <w:r>
        <w:rPr>
          <w:rFonts w:hint="default" w:ascii="Times New Roman" w:hAnsi="宋体" w:eastAsia="宋体" w:cs="宋体"/>
          <w:kern w:val="2"/>
          <w:sz w:val="21"/>
          <w:szCs w:val="22"/>
          <w:lang w:val="en-US" w:eastAsia="zh-CN" w:bidi="ar-SA"/>
        </w:rPr>
        <w:t xml:space="preserve">                </w:t>
      </w:r>
    </w:p>
    <w:p w14:paraId="247496E2">
      <w:pPr>
        <w:rPr>
          <w:rFonts w:hint="eastAsia" w:ascii="宋体" w:hAnsi="宋体" w:cs="仿宋"/>
        </w:rPr>
      </w:pPr>
    </w:p>
    <w:sectPr>
      <w:footerReference r:id="rId5" w:type="default"/>
      <w:footerReference r:id="rId6" w:type="even"/>
      <w:pgSz w:w="10319" w:h="14572"/>
      <w:pgMar w:top="1474" w:right="1474" w:bottom="1474" w:left="1701"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7F43">
    <w:pPr>
      <w:pStyle w:val="9"/>
      <w:ind w:firstLine="6930" w:firstLineChars="38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BA4E5">
    <w:pPr>
      <w:pStyle w:val="9"/>
      <w:jc w:val="center"/>
      <w:rPr>
        <w:rFonts w:hint="default"/>
        <w:lang w:val="en-US"/>
      </w:rPr>
    </w:pPr>
    <w:r>
      <w:rPr>
        <w:rFonts w:ascii="Times New Roman" w:hAnsi="Calibri" w:eastAsia="宋体" w:cs="Times New Roman"/>
        <w:kern w:val="2"/>
        <w:sz w:val="18"/>
        <w:szCs w:val="18"/>
        <w:lang w:val="en-US" w:eastAsia="zh-CN" w:bidi="ar-SA"/>
      </w:rPr>
      <w:t>1</w:t>
    </w:r>
  </w:p>
  <w:p w14:paraId="44C9522F">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6FCBE">
    <w:pPr>
      <w:pStyle w:val="9"/>
      <w:jc w:val="center"/>
    </w:pPr>
    <w:r>
      <w:fldChar w:fldCharType="begin"/>
    </w:r>
    <w:r>
      <w:instrText xml:space="preserve">PAGE   \* MERGEFORMAT</w:instrText>
    </w:r>
    <w:r>
      <w:fldChar w:fldCharType="separate"/>
    </w:r>
    <w:r>
      <w:rPr>
        <w:lang w:val="zh-CN"/>
      </w:rPr>
      <w:t>2</w:t>
    </w:r>
    <w:r>
      <w:fldChar w:fldCharType="end"/>
    </w:r>
  </w:p>
  <w:p w14:paraId="21023637">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F6BCC">
    <w:pPr>
      <w:pStyle w:val="10"/>
      <w:rPr>
        <w:rFonts w:hint="default"/>
        <w:lang w:val="en-US"/>
      </w:rPr>
    </w:pPr>
    <w:r>
      <w:rPr>
        <w:rFonts w:hint="default" w:ascii="Times New Roman" w:hAnsi="Calibri" w:eastAsia="宋体" w:cs="Times New Roman"/>
        <w:kern w:val="2"/>
        <w:sz w:val="18"/>
        <w:szCs w:val="18"/>
        <w:lang w:val="en-US" w:eastAsia="zh-CN" w:bidi="ar-SA"/>
      </w:rPr>
      <w:t xml:space="preserve">Laser Detection Expert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FE044A"/>
    <w:multiLevelType w:val="multilevel"/>
    <w:tmpl w:val="9CFE044A"/>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7DEE21C3"/>
    <w:multiLevelType w:val="singleLevel"/>
    <w:tmpl w:val="7DEE21C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isplayHorizontalDrawingGridEvery w:val="1"/>
  <w:displayVerticalDrawingGridEvery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7F7"/>
    <w:rsid w:val="00003F69"/>
    <w:rsid w:val="000047D3"/>
    <w:rsid w:val="000063C8"/>
    <w:rsid w:val="000076EE"/>
    <w:rsid w:val="000131D4"/>
    <w:rsid w:val="00013E03"/>
    <w:rsid w:val="000208B4"/>
    <w:rsid w:val="00024D8F"/>
    <w:rsid w:val="000318E1"/>
    <w:rsid w:val="00034546"/>
    <w:rsid w:val="000435EF"/>
    <w:rsid w:val="00050626"/>
    <w:rsid w:val="0005481B"/>
    <w:rsid w:val="0006382A"/>
    <w:rsid w:val="000639F6"/>
    <w:rsid w:val="0006517A"/>
    <w:rsid w:val="00065D28"/>
    <w:rsid w:val="00065E66"/>
    <w:rsid w:val="00070AE9"/>
    <w:rsid w:val="00071C9B"/>
    <w:rsid w:val="00082856"/>
    <w:rsid w:val="0008381A"/>
    <w:rsid w:val="000838BB"/>
    <w:rsid w:val="00084E0A"/>
    <w:rsid w:val="00087A7C"/>
    <w:rsid w:val="00096369"/>
    <w:rsid w:val="000A0DB4"/>
    <w:rsid w:val="000A1696"/>
    <w:rsid w:val="000A16D8"/>
    <w:rsid w:val="000A3E78"/>
    <w:rsid w:val="000A6444"/>
    <w:rsid w:val="000B02B7"/>
    <w:rsid w:val="000B2339"/>
    <w:rsid w:val="000B2C5F"/>
    <w:rsid w:val="000B5FA8"/>
    <w:rsid w:val="000B6ADC"/>
    <w:rsid w:val="000C1646"/>
    <w:rsid w:val="000C309D"/>
    <w:rsid w:val="000C6AFD"/>
    <w:rsid w:val="000D3628"/>
    <w:rsid w:val="000D5B81"/>
    <w:rsid w:val="000E00DA"/>
    <w:rsid w:val="000E3526"/>
    <w:rsid w:val="000E6117"/>
    <w:rsid w:val="000F5F99"/>
    <w:rsid w:val="000F7BA1"/>
    <w:rsid w:val="001016AC"/>
    <w:rsid w:val="001025E0"/>
    <w:rsid w:val="00103465"/>
    <w:rsid w:val="00107F8D"/>
    <w:rsid w:val="001118F5"/>
    <w:rsid w:val="0011411B"/>
    <w:rsid w:val="001170DD"/>
    <w:rsid w:val="00121A90"/>
    <w:rsid w:val="00122AE7"/>
    <w:rsid w:val="00124A31"/>
    <w:rsid w:val="0012536D"/>
    <w:rsid w:val="00126AAC"/>
    <w:rsid w:val="0012710F"/>
    <w:rsid w:val="00127D52"/>
    <w:rsid w:val="001300F2"/>
    <w:rsid w:val="00132525"/>
    <w:rsid w:val="00136A84"/>
    <w:rsid w:val="00141422"/>
    <w:rsid w:val="00142C7C"/>
    <w:rsid w:val="0014335E"/>
    <w:rsid w:val="00144DF6"/>
    <w:rsid w:val="001519BC"/>
    <w:rsid w:val="00154CA6"/>
    <w:rsid w:val="001641F9"/>
    <w:rsid w:val="00171678"/>
    <w:rsid w:val="00172F24"/>
    <w:rsid w:val="00174AD5"/>
    <w:rsid w:val="001761B1"/>
    <w:rsid w:val="001770E5"/>
    <w:rsid w:val="001900AE"/>
    <w:rsid w:val="001924CB"/>
    <w:rsid w:val="001A1151"/>
    <w:rsid w:val="001A761A"/>
    <w:rsid w:val="001B2CC1"/>
    <w:rsid w:val="001C3048"/>
    <w:rsid w:val="001C320E"/>
    <w:rsid w:val="001C5367"/>
    <w:rsid w:val="001D6495"/>
    <w:rsid w:val="001E7F55"/>
    <w:rsid w:val="001F3A5E"/>
    <w:rsid w:val="001F6D5F"/>
    <w:rsid w:val="0020089E"/>
    <w:rsid w:val="00200E09"/>
    <w:rsid w:val="00203344"/>
    <w:rsid w:val="0021003D"/>
    <w:rsid w:val="00214A7F"/>
    <w:rsid w:val="002313CB"/>
    <w:rsid w:val="00231AD7"/>
    <w:rsid w:val="002334DE"/>
    <w:rsid w:val="00235AC7"/>
    <w:rsid w:val="00250CB1"/>
    <w:rsid w:val="00251A97"/>
    <w:rsid w:val="0025306E"/>
    <w:rsid w:val="00257FA5"/>
    <w:rsid w:val="0026244E"/>
    <w:rsid w:val="0026608C"/>
    <w:rsid w:val="00267606"/>
    <w:rsid w:val="0027111B"/>
    <w:rsid w:val="002717CA"/>
    <w:rsid w:val="002761C3"/>
    <w:rsid w:val="00277A79"/>
    <w:rsid w:val="00285723"/>
    <w:rsid w:val="002861B5"/>
    <w:rsid w:val="002901CA"/>
    <w:rsid w:val="00293C11"/>
    <w:rsid w:val="002968B4"/>
    <w:rsid w:val="002A125B"/>
    <w:rsid w:val="002A281C"/>
    <w:rsid w:val="002B642E"/>
    <w:rsid w:val="002C30AB"/>
    <w:rsid w:val="002C494B"/>
    <w:rsid w:val="002D0B10"/>
    <w:rsid w:val="002D2186"/>
    <w:rsid w:val="002D6793"/>
    <w:rsid w:val="002D75C8"/>
    <w:rsid w:val="002E1456"/>
    <w:rsid w:val="002E4265"/>
    <w:rsid w:val="002E53B8"/>
    <w:rsid w:val="002E6498"/>
    <w:rsid w:val="002E75EC"/>
    <w:rsid w:val="002F2D65"/>
    <w:rsid w:val="002F7E63"/>
    <w:rsid w:val="003003DD"/>
    <w:rsid w:val="00305C66"/>
    <w:rsid w:val="00307535"/>
    <w:rsid w:val="0031402F"/>
    <w:rsid w:val="00322405"/>
    <w:rsid w:val="00332222"/>
    <w:rsid w:val="00334DA2"/>
    <w:rsid w:val="003362C4"/>
    <w:rsid w:val="003368F1"/>
    <w:rsid w:val="003467A4"/>
    <w:rsid w:val="00350A6A"/>
    <w:rsid w:val="0035270A"/>
    <w:rsid w:val="00354D1F"/>
    <w:rsid w:val="00357242"/>
    <w:rsid w:val="003603B0"/>
    <w:rsid w:val="00363B4B"/>
    <w:rsid w:val="00370DB6"/>
    <w:rsid w:val="00371360"/>
    <w:rsid w:val="00373560"/>
    <w:rsid w:val="00377AD9"/>
    <w:rsid w:val="00377F12"/>
    <w:rsid w:val="00382711"/>
    <w:rsid w:val="00391DE6"/>
    <w:rsid w:val="00393C96"/>
    <w:rsid w:val="00394DEB"/>
    <w:rsid w:val="00397EAB"/>
    <w:rsid w:val="003A2B31"/>
    <w:rsid w:val="003B20C8"/>
    <w:rsid w:val="003B2F45"/>
    <w:rsid w:val="003C28D0"/>
    <w:rsid w:val="003D5698"/>
    <w:rsid w:val="003E16DE"/>
    <w:rsid w:val="003E3A89"/>
    <w:rsid w:val="003F0743"/>
    <w:rsid w:val="003F5A7F"/>
    <w:rsid w:val="003F663A"/>
    <w:rsid w:val="003F77C8"/>
    <w:rsid w:val="00404817"/>
    <w:rsid w:val="004079FF"/>
    <w:rsid w:val="0041339A"/>
    <w:rsid w:val="00417815"/>
    <w:rsid w:val="004227BB"/>
    <w:rsid w:val="00422A58"/>
    <w:rsid w:val="004303C4"/>
    <w:rsid w:val="00431BEA"/>
    <w:rsid w:val="00434E0B"/>
    <w:rsid w:val="004370A7"/>
    <w:rsid w:val="0043733A"/>
    <w:rsid w:val="00441075"/>
    <w:rsid w:val="004508FD"/>
    <w:rsid w:val="00450F49"/>
    <w:rsid w:val="004512E0"/>
    <w:rsid w:val="00452D4E"/>
    <w:rsid w:val="004544B5"/>
    <w:rsid w:val="00455C82"/>
    <w:rsid w:val="0046006E"/>
    <w:rsid w:val="004608FA"/>
    <w:rsid w:val="00466E46"/>
    <w:rsid w:val="00471230"/>
    <w:rsid w:val="00490CE6"/>
    <w:rsid w:val="004939FB"/>
    <w:rsid w:val="00497FF1"/>
    <w:rsid w:val="004A0214"/>
    <w:rsid w:val="004A257F"/>
    <w:rsid w:val="004B32F7"/>
    <w:rsid w:val="004B3C08"/>
    <w:rsid w:val="004B5D8F"/>
    <w:rsid w:val="004B60AC"/>
    <w:rsid w:val="004C183A"/>
    <w:rsid w:val="004C23E1"/>
    <w:rsid w:val="004C5BA1"/>
    <w:rsid w:val="004C7002"/>
    <w:rsid w:val="004D7F16"/>
    <w:rsid w:val="004E2493"/>
    <w:rsid w:val="004F3E56"/>
    <w:rsid w:val="004F6787"/>
    <w:rsid w:val="00500BDC"/>
    <w:rsid w:val="00510CEB"/>
    <w:rsid w:val="005129FD"/>
    <w:rsid w:val="00521DAF"/>
    <w:rsid w:val="0052424F"/>
    <w:rsid w:val="005341C1"/>
    <w:rsid w:val="0054511E"/>
    <w:rsid w:val="00545637"/>
    <w:rsid w:val="005509F2"/>
    <w:rsid w:val="0055437D"/>
    <w:rsid w:val="00554EC5"/>
    <w:rsid w:val="00557FB4"/>
    <w:rsid w:val="00560F26"/>
    <w:rsid w:val="005653F0"/>
    <w:rsid w:val="00571839"/>
    <w:rsid w:val="00575885"/>
    <w:rsid w:val="00576E3A"/>
    <w:rsid w:val="00577C40"/>
    <w:rsid w:val="005823FF"/>
    <w:rsid w:val="00585E54"/>
    <w:rsid w:val="00586C0C"/>
    <w:rsid w:val="00590226"/>
    <w:rsid w:val="005974FD"/>
    <w:rsid w:val="005A0D4D"/>
    <w:rsid w:val="005A2DC3"/>
    <w:rsid w:val="005A500C"/>
    <w:rsid w:val="005A5FF3"/>
    <w:rsid w:val="005B6B93"/>
    <w:rsid w:val="005B6E99"/>
    <w:rsid w:val="005C0E6A"/>
    <w:rsid w:val="005C5140"/>
    <w:rsid w:val="005E03F5"/>
    <w:rsid w:val="005E2553"/>
    <w:rsid w:val="005E41D8"/>
    <w:rsid w:val="005E515C"/>
    <w:rsid w:val="005F6A20"/>
    <w:rsid w:val="005F7FD4"/>
    <w:rsid w:val="0060211A"/>
    <w:rsid w:val="0060364A"/>
    <w:rsid w:val="00606192"/>
    <w:rsid w:val="0060789A"/>
    <w:rsid w:val="0061671B"/>
    <w:rsid w:val="00617843"/>
    <w:rsid w:val="006261FE"/>
    <w:rsid w:val="006413E7"/>
    <w:rsid w:val="00643753"/>
    <w:rsid w:val="006520B8"/>
    <w:rsid w:val="0065387E"/>
    <w:rsid w:val="006543AF"/>
    <w:rsid w:val="00656F41"/>
    <w:rsid w:val="0066091C"/>
    <w:rsid w:val="006648B8"/>
    <w:rsid w:val="00670AC5"/>
    <w:rsid w:val="006716D2"/>
    <w:rsid w:val="00674C06"/>
    <w:rsid w:val="0068163D"/>
    <w:rsid w:val="00681725"/>
    <w:rsid w:val="00683EBF"/>
    <w:rsid w:val="00685D52"/>
    <w:rsid w:val="006870A4"/>
    <w:rsid w:val="00692416"/>
    <w:rsid w:val="00694E9F"/>
    <w:rsid w:val="006955C5"/>
    <w:rsid w:val="00696183"/>
    <w:rsid w:val="006964B5"/>
    <w:rsid w:val="006974F7"/>
    <w:rsid w:val="006A24DC"/>
    <w:rsid w:val="006A6800"/>
    <w:rsid w:val="006B1C52"/>
    <w:rsid w:val="006B34ED"/>
    <w:rsid w:val="006B65F7"/>
    <w:rsid w:val="006B72FE"/>
    <w:rsid w:val="006C317C"/>
    <w:rsid w:val="006C6B10"/>
    <w:rsid w:val="006C6C34"/>
    <w:rsid w:val="006C70C2"/>
    <w:rsid w:val="006D79B2"/>
    <w:rsid w:val="006E2FB3"/>
    <w:rsid w:val="006E71CB"/>
    <w:rsid w:val="006F16C9"/>
    <w:rsid w:val="007006DF"/>
    <w:rsid w:val="00701ACC"/>
    <w:rsid w:val="00714B60"/>
    <w:rsid w:val="00725EE9"/>
    <w:rsid w:val="0072734D"/>
    <w:rsid w:val="007316C6"/>
    <w:rsid w:val="00732A6B"/>
    <w:rsid w:val="007359EA"/>
    <w:rsid w:val="007365A9"/>
    <w:rsid w:val="0075124F"/>
    <w:rsid w:val="007556EF"/>
    <w:rsid w:val="00755AE6"/>
    <w:rsid w:val="007609F6"/>
    <w:rsid w:val="007656BF"/>
    <w:rsid w:val="00770D85"/>
    <w:rsid w:val="0077362B"/>
    <w:rsid w:val="00774E00"/>
    <w:rsid w:val="00775E13"/>
    <w:rsid w:val="0077739A"/>
    <w:rsid w:val="00796BDC"/>
    <w:rsid w:val="007A2B83"/>
    <w:rsid w:val="007A2E26"/>
    <w:rsid w:val="007A348A"/>
    <w:rsid w:val="007A59F4"/>
    <w:rsid w:val="007B2FAD"/>
    <w:rsid w:val="007B3EE6"/>
    <w:rsid w:val="007B4C1E"/>
    <w:rsid w:val="007B6C23"/>
    <w:rsid w:val="007C26E6"/>
    <w:rsid w:val="007C40AE"/>
    <w:rsid w:val="007D04E9"/>
    <w:rsid w:val="007D3BE1"/>
    <w:rsid w:val="007E0A7F"/>
    <w:rsid w:val="007E0B73"/>
    <w:rsid w:val="007E4034"/>
    <w:rsid w:val="007E60D8"/>
    <w:rsid w:val="007E6B00"/>
    <w:rsid w:val="007E6CAC"/>
    <w:rsid w:val="007E7EB6"/>
    <w:rsid w:val="007F0B18"/>
    <w:rsid w:val="007F7258"/>
    <w:rsid w:val="007F7592"/>
    <w:rsid w:val="00807495"/>
    <w:rsid w:val="00807D15"/>
    <w:rsid w:val="00810EC6"/>
    <w:rsid w:val="00817DF1"/>
    <w:rsid w:val="00822028"/>
    <w:rsid w:val="008229EB"/>
    <w:rsid w:val="00822F52"/>
    <w:rsid w:val="00824434"/>
    <w:rsid w:val="008304C0"/>
    <w:rsid w:val="00830787"/>
    <w:rsid w:val="00830FC8"/>
    <w:rsid w:val="008353D7"/>
    <w:rsid w:val="00835E06"/>
    <w:rsid w:val="00836263"/>
    <w:rsid w:val="0083648A"/>
    <w:rsid w:val="00836D8A"/>
    <w:rsid w:val="0084013D"/>
    <w:rsid w:val="0084486E"/>
    <w:rsid w:val="008475C1"/>
    <w:rsid w:val="0085170F"/>
    <w:rsid w:val="00854676"/>
    <w:rsid w:val="0086357F"/>
    <w:rsid w:val="00866EA1"/>
    <w:rsid w:val="00867092"/>
    <w:rsid w:val="008677E6"/>
    <w:rsid w:val="008762B3"/>
    <w:rsid w:val="00876841"/>
    <w:rsid w:val="00885A53"/>
    <w:rsid w:val="00892252"/>
    <w:rsid w:val="00892324"/>
    <w:rsid w:val="00894C89"/>
    <w:rsid w:val="008B5608"/>
    <w:rsid w:val="008C162B"/>
    <w:rsid w:val="008C50CA"/>
    <w:rsid w:val="008D5D8C"/>
    <w:rsid w:val="008E0A4E"/>
    <w:rsid w:val="008F1A58"/>
    <w:rsid w:val="008F3CCC"/>
    <w:rsid w:val="008F62C6"/>
    <w:rsid w:val="00907A39"/>
    <w:rsid w:val="00911063"/>
    <w:rsid w:val="00911E31"/>
    <w:rsid w:val="009218AA"/>
    <w:rsid w:val="00930CAA"/>
    <w:rsid w:val="00931204"/>
    <w:rsid w:val="00937F4E"/>
    <w:rsid w:val="00940C00"/>
    <w:rsid w:val="009472CF"/>
    <w:rsid w:val="009477F3"/>
    <w:rsid w:val="00947FAA"/>
    <w:rsid w:val="00951B4E"/>
    <w:rsid w:val="00952944"/>
    <w:rsid w:val="00960623"/>
    <w:rsid w:val="00967E2C"/>
    <w:rsid w:val="0097019A"/>
    <w:rsid w:val="00976865"/>
    <w:rsid w:val="00977CBA"/>
    <w:rsid w:val="00980028"/>
    <w:rsid w:val="00981A88"/>
    <w:rsid w:val="00984BC0"/>
    <w:rsid w:val="00990167"/>
    <w:rsid w:val="00990274"/>
    <w:rsid w:val="00992068"/>
    <w:rsid w:val="00994231"/>
    <w:rsid w:val="00994334"/>
    <w:rsid w:val="00994751"/>
    <w:rsid w:val="00996CAF"/>
    <w:rsid w:val="009A28BC"/>
    <w:rsid w:val="009B005C"/>
    <w:rsid w:val="009B3687"/>
    <w:rsid w:val="009B6E25"/>
    <w:rsid w:val="009C0052"/>
    <w:rsid w:val="009C2060"/>
    <w:rsid w:val="009C525B"/>
    <w:rsid w:val="009D3317"/>
    <w:rsid w:val="009D57CA"/>
    <w:rsid w:val="009D6522"/>
    <w:rsid w:val="009D6D77"/>
    <w:rsid w:val="009E1398"/>
    <w:rsid w:val="009E24B0"/>
    <w:rsid w:val="009E2F3D"/>
    <w:rsid w:val="009E523F"/>
    <w:rsid w:val="009E7752"/>
    <w:rsid w:val="009F1C1A"/>
    <w:rsid w:val="009F3B88"/>
    <w:rsid w:val="009F4530"/>
    <w:rsid w:val="009F65BA"/>
    <w:rsid w:val="00A008DD"/>
    <w:rsid w:val="00A0118A"/>
    <w:rsid w:val="00A0282A"/>
    <w:rsid w:val="00A06F24"/>
    <w:rsid w:val="00A07766"/>
    <w:rsid w:val="00A07D4A"/>
    <w:rsid w:val="00A14CB0"/>
    <w:rsid w:val="00A14CE5"/>
    <w:rsid w:val="00A14F7A"/>
    <w:rsid w:val="00A23134"/>
    <w:rsid w:val="00A247A0"/>
    <w:rsid w:val="00A32236"/>
    <w:rsid w:val="00A32985"/>
    <w:rsid w:val="00A337DB"/>
    <w:rsid w:val="00A3423C"/>
    <w:rsid w:val="00A3666B"/>
    <w:rsid w:val="00A47152"/>
    <w:rsid w:val="00A523EC"/>
    <w:rsid w:val="00A52495"/>
    <w:rsid w:val="00A54975"/>
    <w:rsid w:val="00A571E8"/>
    <w:rsid w:val="00A6798B"/>
    <w:rsid w:val="00A736CD"/>
    <w:rsid w:val="00A748B1"/>
    <w:rsid w:val="00A77835"/>
    <w:rsid w:val="00A800AA"/>
    <w:rsid w:val="00A81240"/>
    <w:rsid w:val="00A913B5"/>
    <w:rsid w:val="00A92706"/>
    <w:rsid w:val="00A94C72"/>
    <w:rsid w:val="00AA6BED"/>
    <w:rsid w:val="00AB712E"/>
    <w:rsid w:val="00AB7DC9"/>
    <w:rsid w:val="00AD04CE"/>
    <w:rsid w:val="00AD1437"/>
    <w:rsid w:val="00AD1E3B"/>
    <w:rsid w:val="00AD2409"/>
    <w:rsid w:val="00AD2DBD"/>
    <w:rsid w:val="00AD314D"/>
    <w:rsid w:val="00AD3B83"/>
    <w:rsid w:val="00AD4953"/>
    <w:rsid w:val="00AD7482"/>
    <w:rsid w:val="00AE0D2F"/>
    <w:rsid w:val="00AE16FE"/>
    <w:rsid w:val="00AE3FA2"/>
    <w:rsid w:val="00AF3184"/>
    <w:rsid w:val="00AF7A4B"/>
    <w:rsid w:val="00B02884"/>
    <w:rsid w:val="00B0343A"/>
    <w:rsid w:val="00B05492"/>
    <w:rsid w:val="00B12681"/>
    <w:rsid w:val="00B13DC5"/>
    <w:rsid w:val="00B21467"/>
    <w:rsid w:val="00B2314B"/>
    <w:rsid w:val="00B25B1D"/>
    <w:rsid w:val="00B31936"/>
    <w:rsid w:val="00B31995"/>
    <w:rsid w:val="00B36D75"/>
    <w:rsid w:val="00B36E1B"/>
    <w:rsid w:val="00B370EF"/>
    <w:rsid w:val="00B41A7F"/>
    <w:rsid w:val="00B4327C"/>
    <w:rsid w:val="00B4353C"/>
    <w:rsid w:val="00B510DF"/>
    <w:rsid w:val="00B519F0"/>
    <w:rsid w:val="00B54478"/>
    <w:rsid w:val="00B57102"/>
    <w:rsid w:val="00B635D0"/>
    <w:rsid w:val="00B66107"/>
    <w:rsid w:val="00B67463"/>
    <w:rsid w:val="00B8498F"/>
    <w:rsid w:val="00B86003"/>
    <w:rsid w:val="00B906E1"/>
    <w:rsid w:val="00BA1ED4"/>
    <w:rsid w:val="00BB25D9"/>
    <w:rsid w:val="00BB7152"/>
    <w:rsid w:val="00BC1C7B"/>
    <w:rsid w:val="00BC511B"/>
    <w:rsid w:val="00BD48FC"/>
    <w:rsid w:val="00BE1CE6"/>
    <w:rsid w:val="00BE2A2F"/>
    <w:rsid w:val="00BE64A0"/>
    <w:rsid w:val="00BE6971"/>
    <w:rsid w:val="00BE7E5E"/>
    <w:rsid w:val="00BF6A19"/>
    <w:rsid w:val="00C02AFC"/>
    <w:rsid w:val="00C030AB"/>
    <w:rsid w:val="00C04C38"/>
    <w:rsid w:val="00C04EB8"/>
    <w:rsid w:val="00C05AE1"/>
    <w:rsid w:val="00C132A7"/>
    <w:rsid w:val="00C16325"/>
    <w:rsid w:val="00C168A4"/>
    <w:rsid w:val="00C23611"/>
    <w:rsid w:val="00C349C3"/>
    <w:rsid w:val="00C34B29"/>
    <w:rsid w:val="00C41022"/>
    <w:rsid w:val="00C5024A"/>
    <w:rsid w:val="00C51A35"/>
    <w:rsid w:val="00C5562A"/>
    <w:rsid w:val="00C5717B"/>
    <w:rsid w:val="00C57BBD"/>
    <w:rsid w:val="00C61D23"/>
    <w:rsid w:val="00C66B7C"/>
    <w:rsid w:val="00C70799"/>
    <w:rsid w:val="00C73F46"/>
    <w:rsid w:val="00C808C3"/>
    <w:rsid w:val="00C81BCD"/>
    <w:rsid w:val="00C84F7D"/>
    <w:rsid w:val="00C86382"/>
    <w:rsid w:val="00C91713"/>
    <w:rsid w:val="00C920B8"/>
    <w:rsid w:val="00C9568E"/>
    <w:rsid w:val="00C96E6C"/>
    <w:rsid w:val="00CA2D69"/>
    <w:rsid w:val="00CB07CC"/>
    <w:rsid w:val="00CB3CA4"/>
    <w:rsid w:val="00CB5255"/>
    <w:rsid w:val="00CC1192"/>
    <w:rsid w:val="00CC5FF7"/>
    <w:rsid w:val="00CC7D7A"/>
    <w:rsid w:val="00CD006C"/>
    <w:rsid w:val="00CD0A4B"/>
    <w:rsid w:val="00CD3C33"/>
    <w:rsid w:val="00CD54CA"/>
    <w:rsid w:val="00CD61A5"/>
    <w:rsid w:val="00CE0BB4"/>
    <w:rsid w:val="00CE5076"/>
    <w:rsid w:val="00CE5DF7"/>
    <w:rsid w:val="00D05E06"/>
    <w:rsid w:val="00D164DF"/>
    <w:rsid w:val="00D20BD3"/>
    <w:rsid w:val="00D21B84"/>
    <w:rsid w:val="00D226B6"/>
    <w:rsid w:val="00D2273A"/>
    <w:rsid w:val="00D237ED"/>
    <w:rsid w:val="00D26F94"/>
    <w:rsid w:val="00D274E2"/>
    <w:rsid w:val="00D4459A"/>
    <w:rsid w:val="00D54538"/>
    <w:rsid w:val="00D72C9D"/>
    <w:rsid w:val="00D72E91"/>
    <w:rsid w:val="00D73882"/>
    <w:rsid w:val="00D8424C"/>
    <w:rsid w:val="00D905A9"/>
    <w:rsid w:val="00D95029"/>
    <w:rsid w:val="00DA32B3"/>
    <w:rsid w:val="00DA722E"/>
    <w:rsid w:val="00DB3EA0"/>
    <w:rsid w:val="00DB6541"/>
    <w:rsid w:val="00DC00A8"/>
    <w:rsid w:val="00DC1E15"/>
    <w:rsid w:val="00DC2AE9"/>
    <w:rsid w:val="00DD3CA2"/>
    <w:rsid w:val="00DD45D1"/>
    <w:rsid w:val="00DD6F22"/>
    <w:rsid w:val="00DE6B34"/>
    <w:rsid w:val="00DF190C"/>
    <w:rsid w:val="00DF1EEE"/>
    <w:rsid w:val="00DF2479"/>
    <w:rsid w:val="00E21BC3"/>
    <w:rsid w:val="00E22858"/>
    <w:rsid w:val="00E22F13"/>
    <w:rsid w:val="00E278D0"/>
    <w:rsid w:val="00E30946"/>
    <w:rsid w:val="00E32771"/>
    <w:rsid w:val="00E32ECA"/>
    <w:rsid w:val="00E37BF1"/>
    <w:rsid w:val="00E41A6A"/>
    <w:rsid w:val="00E4273D"/>
    <w:rsid w:val="00E43EE4"/>
    <w:rsid w:val="00E44FAB"/>
    <w:rsid w:val="00E45D97"/>
    <w:rsid w:val="00E5665B"/>
    <w:rsid w:val="00E66CDE"/>
    <w:rsid w:val="00E764BF"/>
    <w:rsid w:val="00E774A4"/>
    <w:rsid w:val="00E87543"/>
    <w:rsid w:val="00E9199F"/>
    <w:rsid w:val="00E952A0"/>
    <w:rsid w:val="00EA0CE1"/>
    <w:rsid w:val="00EA0D95"/>
    <w:rsid w:val="00EA2412"/>
    <w:rsid w:val="00EA47BF"/>
    <w:rsid w:val="00EB2D60"/>
    <w:rsid w:val="00EB64A2"/>
    <w:rsid w:val="00EB68C8"/>
    <w:rsid w:val="00EB6E6C"/>
    <w:rsid w:val="00EC07CE"/>
    <w:rsid w:val="00EC3C8E"/>
    <w:rsid w:val="00EC47B4"/>
    <w:rsid w:val="00ED5B5F"/>
    <w:rsid w:val="00ED6FBE"/>
    <w:rsid w:val="00EE2335"/>
    <w:rsid w:val="00EE5076"/>
    <w:rsid w:val="00EE54A9"/>
    <w:rsid w:val="00EF1629"/>
    <w:rsid w:val="00EF6BCB"/>
    <w:rsid w:val="00F013CA"/>
    <w:rsid w:val="00F0535A"/>
    <w:rsid w:val="00F15EC7"/>
    <w:rsid w:val="00F16F5F"/>
    <w:rsid w:val="00F21AF9"/>
    <w:rsid w:val="00F227DB"/>
    <w:rsid w:val="00F23060"/>
    <w:rsid w:val="00F34B6D"/>
    <w:rsid w:val="00F376ED"/>
    <w:rsid w:val="00F41F10"/>
    <w:rsid w:val="00F42395"/>
    <w:rsid w:val="00F4569C"/>
    <w:rsid w:val="00F53584"/>
    <w:rsid w:val="00F54CC7"/>
    <w:rsid w:val="00F55F53"/>
    <w:rsid w:val="00F614B8"/>
    <w:rsid w:val="00F66874"/>
    <w:rsid w:val="00F67AE4"/>
    <w:rsid w:val="00F71C73"/>
    <w:rsid w:val="00F74E39"/>
    <w:rsid w:val="00F85E1A"/>
    <w:rsid w:val="00F85F09"/>
    <w:rsid w:val="00F86349"/>
    <w:rsid w:val="00F87B1B"/>
    <w:rsid w:val="00F97F22"/>
    <w:rsid w:val="00FA13D1"/>
    <w:rsid w:val="00FB7B14"/>
    <w:rsid w:val="00FD1A11"/>
    <w:rsid w:val="00FD3D0B"/>
    <w:rsid w:val="00FD501E"/>
    <w:rsid w:val="00FD6A1D"/>
    <w:rsid w:val="00FE0BC1"/>
    <w:rsid w:val="00FE1FE2"/>
    <w:rsid w:val="00FE6E1F"/>
    <w:rsid w:val="00FE73F3"/>
    <w:rsid w:val="00FF69F0"/>
    <w:rsid w:val="019C03CF"/>
    <w:rsid w:val="03F1203E"/>
    <w:rsid w:val="04403AFE"/>
    <w:rsid w:val="074D2D29"/>
    <w:rsid w:val="094524FF"/>
    <w:rsid w:val="09817546"/>
    <w:rsid w:val="0ADE6155"/>
    <w:rsid w:val="0AFA7002"/>
    <w:rsid w:val="0B4C0CCC"/>
    <w:rsid w:val="0D3967D7"/>
    <w:rsid w:val="0D5D783D"/>
    <w:rsid w:val="11AB600B"/>
    <w:rsid w:val="11EF3F68"/>
    <w:rsid w:val="13AE085B"/>
    <w:rsid w:val="13DC4BCC"/>
    <w:rsid w:val="13DD5689"/>
    <w:rsid w:val="153D430C"/>
    <w:rsid w:val="1B904FB6"/>
    <w:rsid w:val="1F607374"/>
    <w:rsid w:val="224805CD"/>
    <w:rsid w:val="22A24E69"/>
    <w:rsid w:val="258015BE"/>
    <w:rsid w:val="28B5250B"/>
    <w:rsid w:val="29831312"/>
    <w:rsid w:val="2D397430"/>
    <w:rsid w:val="2D6E6A76"/>
    <w:rsid w:val="2FFE4989"/>
    <w:rsid w:val="312779B3"/>
    <w:rsid w:val="348113EA"/>
    <w:rsid w:val="34EC6A41"/>
    <w:rsid w:val="35D94F72"/>
    <w:rsid w:val="35E7310A"/>
    <w:rsid w:val="36775A8E"/>
    <w:rsid w:val="3A03112D"/>
    <w:rsid w:val="3BC14218"/>
    <w:rsid w:val="3E404FCA"/>
    <w:rsid w:val="3E4807E1"/>
    <w:rsid w:val="3E5E09E7"/>
    <w:rsid w:val="3FFEEAF3"/>
    <w:rsid w:val="406D0579"/>
    <w:rsid w:val="41834389"/>
    <w:rsid w:val="44537AF7"/>
    <w:rsid w:val="448A4217"/>
    <w:rsid w:val="46DF2BD7"/>
    <w:rsid w:val="477C39EF"/>
    <w:rsid w:val="479D7445"/>
    <w:rsid w:val="496163E1"/>
    <w:rsid w:val="4C1031D9"/>
    <w:rsid w:val="4CEF6FC4"/>
    <w:rsid w:val="4F097917"/>
    <w:rsid w:val="513D08D8"/>
    <w:rsid w:val="52DF02FB"/>
    <w:rsid w:val="52E23187"/>
    <w:rsid w:val="53AD3B54"/>
    <w:rsid w:val="545503CD"/>
    <w:rsid w:val="550F45CD"/>
    <w:rsid w:val="558867F2"/>
    <w:rsid w:val="56BA37D7"/>
    <w:rsid w:val="584D7CAF"/>
    <w:rsid w:val="586572FD"/>
    <w:rsid w:val="590D59E6"/>
    <w:rsid w:val="59FA434B"/>
    <w:rsid w:val="5BA619CA"/>
    <w:rsid w:val="5F14140D"/>
    <w:rsid w:val="5F2A6EC8"/>
    <w:rsid w:val="61FA38F8"/>
    <w:rsid w:val="63AA5E6C"/>
    <w:rsid w:val="67080599"/>
    <w:rsid w:val="672509BC"/>
    <w:rsid w:val="680D76E0"/>
    <w:rsid w:val="68731472"/>
    <w:rsid w:val="68A550A3"/>
    <w:rsid w:val="692D6DF3"/>
    <w:rsid w:val="69525F9F"/>
    <w:rsid w:val="69B65845"/>
    <w:rsid w:val="6B452B0C"/>
    <w:rsid w:val="6B453BC4"/>
    <w:rsid w:val="6BEA6E9B"/>
    <w:rsid w:val="6DD44612"/>
    <w:rsid w:val="6EBB54AA"/>
    <w:rsid w:val="6F6F2B26"/>
    <w:rsid w:val="704F758C"/>
    <w:rsid w:val="70C71E93"/>
    <w:rsid w:val="70D044BF"/>
    <w:rsid w:val="71D04E4A"/>
    <w:rsid w:val="71F87FCD"/>
    <w:rsid w:val="723054DF"/>
    <w:rsid w:val="72D54237"/>
    <w:rsid w:val="73B06908"/>
    <w:rsid w:val="757A64BA"/>
    <w:rsid w:val="75BB90A8"/>
    <w:rsid w:val="77D40C9B"/>
    <w:rsid w:val="783345DB"/>
    <w:rsid w:val="79364C2C"/>
    <w:rsid w:val="79C76AFC"/>
    <w:rsid w:val="7EEB3ED1"/>
    <w:rsid w:val="B7FF2917"/>
    <w:rsid w:val="E673DBF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opacity="0f" focussize="0,0"/>
      <v:stroke color="#FFFFF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4"/>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25"/>
    <w:qFormat/>
    <w:uiPriority w:val="0"/>
    <w:pPr>
      <w:keepNext/>
      <w:keepLines/>
      <w:spacing w:before="260" w:after="260" w:line="416" w:lineRule="auto"/>
      <w:outlineLvl w:val="2"/>
    </w:pPr>
    <w:rPr>
      <w:b/>
      <w:bCs/>
      <w:sz w:val="32"/>
      <w:szCs w:val="32"/>
    </w:rPr>
  </w:style>
  <w:style w:type="character" w:default="1" w:styleId="18">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cs="Times New Roman"/>
      <w:sz w:val="20"/>
      <w:szCs w:val="20"/>
    </w:rPr>
  </w:style>
  <w:style w:type="paragraph" w:styleId="6">
    <w:name w:val="annotation text"/>
    <w:basedOn w:val="1"/>
    <w:link w:val="26"/>
    <w:uiPriority w:val="0"/>
    <w:pPr>
      <w:jc w:val="left"/>
    </w:pPr>
  </w:style>
  <w:style w:type="paragraph" w:styleId="7">
    <w:name w:val="toc 3"/>
    <w:basedOn w:val="1"/>
    <w:next w:val="1"/>
    <w:uiPriority w:val="39"/>
    <w:pPr>
      <w:ind w:left="200" w:leftChars="200"/>
    </w:pPr>
  </w:style>
  <w:style w:type="paragraph" w:styleId="8">
    <w:name w:val="Balloon Text"/>
    <w:basedOn w:val="1"/>
    <w:link w:val="27"/>
    <w:uiPriority w:val="0"/>
    <w:rPr>
      <w:sz w:val="18"/>
      <w:szCs w:val="18"/>
    </w:rPr>
  </w:style>
  <w:style w:type="paragraph" w:styleId="9">
    <w:name w:val="footer"/>
    <w:basedOn w:val="1"/>
    <w:link w:val="28"/>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style>
  <w:style w:type="paragraph" w:styleId="12">
    <w:name w:val="Subtitle"/>
    <w:basedOn w:val="1"/>
    <w:next w:val="1"/>
    <w:link w:val="29"/>
    <w:qFormat/>
    <w:uiPriority w:val="0"/>
    <w:pPr>
      <w:spacing w:before="240" w:after="60" w:line="312" w:lineRule="auto"/>
      <w:jc w:val="center"/>
      <w:outlineLvl w:val="1"/>
    </w:pPr>
    <w:rPr>
      <w:rFonts w:ascii="等线 Light" w:hAnsi="等线 Light" w:cs="Times New Roman"/>
      <w:b/>
      <w:bCs/>
      <w:kern w:val="28"/>
      <w:sz w:val="32"/>
      <w:szCs w:val="32"/>
    </w:rPr>
  </w:style>
  <w:style w:type="paragraph" w:styleId="13">
    <w:name w:val="toc 2"/>
    <w:basedOn w:val="1"/>
    <w:next w:val="1"/>
    <w:qFormat/>
    <w:uiPriority w:val="39"/>
    <w:pPr>
      <w:ind w:left="200" w:leftChars="200"/>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6"/>
    <w:next w:val="6"/>
    <w:link w:val="30"/>
    <w:qFormat/>
    <w:uiPriority w:val="0"/>
    <w:rPr>
      <w:b/>
      <w:bCs/>
    </w:rPr>
  </w:style>
  <w:style w:type="table" w:styleId="17">
    <w:name w:val="Table Grid"/>
    <w:basedOn w:val="16"/>
    <w:qFormat/>
    <w:uiPriority w:val="0"/>
    <w:rPr>
      <w:rFonts w:ascii="Calibri" w:hAnsi="Calibri"/>
      <w:lang w:val="en-US" w:eastAsia="zh-CN" w:bidi="ar-S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Strong"/>
    <w:qFormat/>
    <w:uiPriority w:val="22"/>
    <w:rPr>
      <w:b/>
      <w:bCs/>
    </w:rPr>
  </w:style>
  <w:style w:type="character" w:styleId="20">
    <w:name w:val="page number"/>
    <w:basedOn w:val="18"/>
    <w:qFormat/>
    <w:uiPriority w:val="0"/>
  </w:style>
  <w:style w:type="character" w:styleId="21">
    <w:name w:val="Hyperlink"/>
    <w:qFormat/>
    <w:uiPriority w:val="99"/>
    <w:rPr>
      <w:color w:val="0000FF"/>
      <w:u w:val="single"/>
    </w:rPr>
  </w:style>
  <w:style w:type="character" w:styleId="22">
    <w:name w:val="annotation reference"/>
    <w:qFormat/>
    <w:uiPriority w:val="0"/>
    <w:rPr>
      <w:sz w:val="21"/>
      <w:szCs w:val="21"/>
    </w:rPr>
  </w:style>
  <w:style w:type="character" w:customStyle="1" w:styleId="23">
    <w:name w:val="标题 1 字符"/>
    <w:link w:val="2"/>
    <w:qFormat/>
    <w:locked/>
    <w:uiPriority w:val="0"/>
    <w:rPr>
      <w:rFonts w:ascii="Calibri" w:hAnsi="Calibri" w:eastAsia="宋体"/>
      <w:b/>
      <w:bCs/>
      <w:kern w:val="44"/>
      <w:sz w:val="44"/>
      <w:szCs w:val="44"/>
      <w:lang w:val="en-US" w:eastAsia="zh-CN" w:bidi="ar-SA"/>
    </w:rPr>
  </w:style>
  <w:style w:type="character" w:customStyle="1" w:styleId="24">
    <w:name w:val="标题 2 字符"/>
    <w:link w:val="3"/>
    <w:qFormat/>
    <w:locked/>
    <w:uiPriority w:val="0"/>
    <w:rPr>
      <w:rFonts w:ascii="Cambria" w:hAnsi="Cambria" w:eastAsia="宋体"/>
      <w:b/>
      <w:bCs/>
      <w:kern w:val="2"/>
      <w:sz w:val="32"/>
      <w:szCs w:val="32"/>
      <w:lang w:val="en-US" w:eastAsia="zh-CN" w:bidi="ar-SA"/>
    </w:rPr>
  </w:style>
  <w:style w:type="character" w:customStyle="1" w:styleId="25">
    <w:name w:val="标题 3 字符"/>
    <w:link w:val="4"/>
    <w:qFormat/>
    <w:locked/>
    <w:uiPriority w:val="0"/>
    <w:rPr>
      <w:rFonts w:ascii="Calibri" w:hAnsi="Calibri" w:eastAsia="宋体"/>
      <w:b/>
      <w:bCs/>
      <w:kern w:val="2"/>
      <w:sz w:val="32"/>
      <w:szCs w:val="32"/>
      <w:lang w:val="en-US" w:eastAsia="zh-CN" w:bidi="ar-SA"/>
    </w:rPr>
  </w:style>
  <w:style w:type="character" w:customStyle="1" w:styleId="26">
    <w:name w:val="批注文字 字符"/>
    <w:link w:val="6"/>
    <w:qFormat/>
    <w:uiPriority w:val="0"/>
    <w:rPr>
      <w:rFonts w:ascii="Calibri" w:hAnsi="Calibri"/>
      <w:kern w:val="2"/>
      <w:sz w:val="21"/>
      <w:szCs w:val="22"/>
    </w:rPr>
  </w:style>
  <w:style w:type="character" w:customStyle="1" w:styleId="27">
    <w:name w:val="批注框文本 字符"/>
    <w:link w:val="8"/>
    <w:qFormat/>
    <w:uiPriority w:val="0"/>
    <w:rPr>
      <w:rFonts w:ascii="Calibri" w:hAnsi="Calibri"/>
      <w:kern w:val="2"/>
      <w:sz w:val="18"/>
      <w:szCs w:val="18"/>
    </w:rPr>
  </w:style>
  <w:style w:type="character" w:customStyle="1" w:styleId="28">
    <w:name w:val="页脚 字符"/>
    <w:link w:val="9"/>
    <w:qFormat/>
    <w:uiPriority w:val="99"/>
    <w:rPr>
      <w:rFonts w:ascii="Calibri" w:hAnsi="Calibri"/>
      <w:kern w:val="2"/>
      <w:sz w:val="18"/>
      <w:szCs w:val="18"/>
    </w:rPr>
  </w:style>
  <w:style w:type="character" w:customStyle="1" w:styleId="29">
    <w:name w:val="副标题 字符"/>
    <w:link w:val="12"/>
    <w:qFormat/>
    <w:uiPriority w:val="0"/>
    <w:rPr>
      <w:rFonts w:ascii="等线 Light" w:hAnsi="等线 Light" w:cs="Times New Roman"/>
      <w:b/>
      <w:bCs/>
      <w:kern w:val="28"/>
      <w:sz w:val="32"/>
      <w:szCs w:val="32"/>
    </w:rPr>
  </w:style>
  <w:style w:type="character" w:customStyle="1" w:styleId="30">
    <w:name w:val="批注主题 字符"/>
    <w:link w:val="15"/>
    <w:qFormat/>
    <w:uiPriority w:val="0"/>
    <w:rPr>
      <w:rFonts w:ascii="Calibri" w:hAnsi="Calibri"/>
      <w:b/>
      <w:bCs/>
      <w:kern w:val="2"/>
      <w:sz w:val="21"/>
      <w:szCs w:val="22"/>
    </w:rPr>
  </w:style>
  <w:style w:type="character" w:customStyle="1" w:styleId="31">
    <w:name w:val="段 Char"/>
    <w:link w:val="32"/>
    <w:qFormat/>
    <w:locked/>
    <w:uiPriority w:val="99"/>
    <w:rPr>
      <w:rFonts w:ascii="宋体"/>
      <w:kern w:val="2"/>
      <w:sz w:val="21"/>
      <w:szCs w:val="22"/>
      <w:lang w:bidi="ar-SA"/>
    </w:rPr>
  </w:style>
  <w:style w:type="paragraph" w:customStyle="1" w:styleId="32">
    <w:name w:val="段"/>
    <w:link w:val="31"/>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bidi="ar-SA"/>
    </w:rPr>
  </w:style>
  <w:style w:type="paragraph" w:customStyle="1" w:styleId="33">
    <w:name w:val="封面标准号2"/>
    <w:qFormat/>
    <w:uiPriority w:val="99"/>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34">
    <w:name w:val="封面标准名称"/>
    <w:qFormat/>
    <w:uiPriority w:val="99"/>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szCs w:val="22"/>
      <w:lang w:val="en-US" w:eastAsia="zh-CN" w:bidi="ar-SA"/>
    </w:rPr>
  </w:style>
  <w:style w:type="paragraph" w:customStyle="1" w:styleId="35">
    <w:name w:val="_Style 34"/>
    <w:basedOn w:val="2"/>
    <w:next w:val="1"/>
    <w:unhideWhenUsed/>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2218</Words>
  <Characters>13155</Characters>
  <Lines>44</Lines>
  <Paragraphs>12</Paragraphs>
  <TotalTime>0</TotalTime>
  <ScaleCrop>false</ScaleCrop>
  <LinksUpToDate>false</LinksUpToDate>
  <CharactersWithSpaces>15178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2022-04-15T15:07:00Z</dcterms:created>
  <dc:creator>Administrator</dc:creator>
  <cp:lastModifiedBy>小牛同学</cp:lastModifiedBy>
  <cp:lastPrinted>2021-12-15T16:53:00Z</cp:lastPrinted>
  <dcterms:modified xsi:type="dcterms:W3CDTF">2026-09-15T06:42:09Z</dcterms:modified>
  <dc:title>FOD300开放式激光甲烷遥测仪</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eyJoZGlkIjoiNjIzMjlhNjFkMTlkMWMzMDk2MTYzZGJiNGZiNzNiY2MiLCJ1c2VySWQiOiIxNTQ4OTQ1OTE5In0=</vt:lpwstr>
  </property>
  <property fmtid="{D5CDD505-2E9C-101B-9397-08002B2CF9AE}" pid="4" name="ICV">
    <vt:lpwstr>B6FDF494C3ED4C2E9399D74D6862D3FE_13</vt:lpwstr>
  </property>
</Properties>
</file>