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4EEBA">
      <w:pPr>
        <w:pageBreakBefore w:val="0"/>
        <w:kinsoku/>
        <w:wordWrap/>
        <w:overflowPunct/>
        <w:topLinePunct w:val="0"/>
        <w:bidi w:val="0"/>
        <w:adjustRightInd w:val="0"/>
        <w:snapToGrid w:val="0"/>
        <w:spacing w:line="288" w:lineRule="auto"/>
        <w:jc w:val="center"/>
        <w:textAlignment w:val="center"/>
        <w:outlineLvl w:val="9"/>
        <w:rPr>
          <w:rFonts w:hint="eastAsia" w:ascii="黑体" w:eastAsia="黑体"/>
          <w:color w:val="000000"/>
          <w:sz w:val="24"/>
          <w:szCs w:val="24"/>
        </w:rPr>
      </w:pPr>
      <w:bookmarkStart w:id="17" w:name="_GoBack"/>
      <w:bookmarkEnd w:id="17"/>
    </w:p>
    <w:p w14:paraId="4E40B466">
      <w:pPr>
        <w:pageBreakBefore w:val="0"/>
        <w:kinsoku/>
        <w:wordWrap/>
        <w:overflowPunct/>
        <w:topLinePunct w:val="0"/>
        <w:bidi w:val="0"/>
        <w:adjustRightInd w:val="0"/>
        <w:snapToGrid w:val="0"/>
        <w:spacing w:line="288" w:lineRule="auto"/>
        <w:jc w:val="center"/>
        <w:textAlignment w:val="center"/>
        <w:outlineLvl w:val="9"/>
        <w:rPr>
          <w:rFonts w:hint="eastAsia" w:ascii="黑体" w:eastAsia="黑体"/>
          <w:color w:val="000000"/>
          <w:sz w:val="24"/>
          <w:szCs w:val="24"/>
        </w:rPr>
      </w:pPr>
    </w:p>
    <w:p w14:paraId="290B6258">
      <w:pPr>
        <w:pageBreakBefore w:val="0"/>
        <w:kinsoku/>
        <w:wordWrap/>
        <w:overflowPunct/>
        <w:topLinePunct w:val="0"/>
        <w:bidi w:val="0"/>
        <w:adjustRightInd w:val="0"/>
        <w:snapToGrid w:val="0"/>
        <w:spacing w:line="288" w:lineRule="auto"/>
        <w:jc w:val="center"/>
        <w:textAlignment w:val="center"/>
        <w:outlineLvl w:val="9"/>
        <w:rPr>
          <w:rFonts w:hint="default" w:ascii="微软雅黑" w:hAnsi="微软雅黑" w:eastAsia="微软雅黑" w:cs="微软雅黑"/>
          <w:b/>
          <w:color w:val="000000"/>
          <w:sz w:val="32"/>
          <w:szCs w:val="32"/>
          <w:lang w:val="en-US" w:eastAsia="zh-CN"/>
        </w:rPr>
      </w:pPr>
      <w:r>
        <w:rPr>
          <w:rFonts w:hint="default" w:ascii="Times New Roman" w:hAnsi="微软雅黑" w:eastAsia="微软雅黑" w:cs="微软雅黑"/>
          <w:b/>
          <w:color w:val="000000"/>
          <w:kern w:val="2"/>
          <w:sz w:val="32"/>
          <w:szCs w:val="32"/>
          <w:lang w:val="en-US" w:eastAsia="zh-CN" w:bidi="ar-SA"/>
        </w:rPr>
        <w:t>Portable Gas Detection and Alarm Instrument</w:t>
      </w:r>
    </w:p>
    <w:p w14:paraId="101E78B0">
      <w:pPr>
        <w:pageBreakBefore w:val="0"/>
        <w:kinsoku/>
        <w:wordWrap/>
        <w:overflowPunct/>
        <w:topLinePunct w:val="0"/>
        <w:bidi w:val="0"/>
        <w:adjustRightInd w:val="0"/>
        <w:snapToGrid w:val="0"/>
        <w:spacing w:line="288" w:lineRule="auto"/>
        <w:jc w:val="center"/>
        <w:textAlignment w:val="center"/>
        <w:outlineLvl w:val="9"/>
        <w:rPr>
          <w:rFonts w:hint="eastAsia" w:ascii="微软雅黑" w:hAnsi="微软雅黑" w:eastAsia="微软雅黑" w:cs="微软雅黑"/>
          <w:b/>
          <w:color w:val="000000"/>
          <w:sz w:val="32"/>
          <w:szCs w:val="32"/>
          <w:lang w:val="en-US" w:eastAsia="zh-CN"/>
        </w:rPr>
      </w:pPr>
      <w:r>
        <w:rPr>
          <w:rFonts w:hint="default" w:ascii="Times New Roman" w:hAnsi="微软雅黑" w:eastAsia="微软雅黑" w:cs="微软雅黑"/>
          <w:b/>
          <w:color w:val="000000"/>
          <w:kern w:val="2"/>
          <w:sz w:val="32"/>
          <w:szCs w:val="32"/>
          <w:lang w:val="en-US" w:eastAsia="zh-CN" w:bidi="ar-SA"/>
        </w:rPr>
        <w:t>(Pump-suction multi-gas detector)</w:t>
      </w:r>
    </w:p>
    <w:p w14:paraId="4201443C">
      <w:pPr>
        <w:pageBreakBefore w:val="0"/>
        <w:kinsoku/>
        <w:wordWrap/>
        <w:overflowPunct/>
        <w:topLinePunct w:val="0"/>
        <w:bidi w:val="0"/>
        <w:adjustRightInd w:val="0"/>
        <w:snapToGrid w:val="0"/>
        <w:spacing w:line="288" w:lineRule="auto"/>
        <w:jc w:val="center"/>
        <w:textAlignment w:val="center"/>
        <w:outlineLvl w:val="9"/>
        <w:rPr>
          <w:rFonts w:hint="default" w:ascii="微软雅黑" w:hAnsi="微软雅黑" w:eastAsia="微软雅黑" w:cs="微软雅黑"/>
          <w:b/>
          <w:color w:val="000000"/>
          <w:sz w:val="32"/>
          <w:szCs w:val="32"/>
          <w:lang w:val="en-US" w:eastAsia="zh-CN"/>
        </w:rPr>
      </w:pPr>
      <w:r>
        <w:rPr>
          <w:rFonts w:hint="default" w:ascii="Times New Roman" w:hAnsi="微软雅黑" w:eastAsia="微软雅黑" w:cs="微软雅黑"/>
          <w:b/>
          <w:color w:val="000000"/>
          <w:kern w:val="2"/>
          <w:sz w:val="32"/>
          <w:szCs w:val="32"/>
          <w:lang w:val="en-US" w:eastAsia="zh-CN" w:bidi="ar-SA"/>
        </w:rPr>
        <w:t>OT135</w:t>
      </w:r>
    </w:p>
    <w:p w14:paraId="6FD753F8">
      <w:pPr>
        <w:pageBreakBefore w:val="0"/>
        <w:kinsoku/>
        <w:wordWrap/>
        <w:overflowPunct/>
        <w:topLinePunct w:val="0"/>
        <w:bidi w:val="0"/>
        <w:adjustRightInd w:val="0"/>
        <w:snapToGrid w:val="0"/>
        <w:spacing w:line="288" w:lineRule="auto"/>
        <w:jc w:val="center"/>
        <w:textAlignment w:val="center"/>
        <w:outlineLvl w:val="9"/>
        <w:rPr>
          <w:rFonts w:hint="default" w:ascii="微软雅黑" w:hAnsi="微软雅黑" w:eastAsia="微软雅黑" w:cs="微软雅黑"/>
          <w:b/>
          <w:bCs/>
          <w:color w:val="000000"/>
          <w:sz w:val="32"/>
          <w:szCs w:val="32"/>
          <w:lang w:val="en-US"/>
        </w:rPr>
      </w:pPr>
      <w:r>
        <w:rPr>
          <w:rFonts w:hint="default" w:ascii="Times New Roman" w:hAnsi="微软雅黑" w:eastAsia="微软雅黑" w:cs="微软雅黑"/>
          <w:b/>
          <w:bCs/>
          <w:color w:val="000000"/>
          <w:kern w:val="2"/>
          <w:sz w:val="32"/>
          <w:szCs w:val="32"/>
          <w:lang w:val="en-US" w:eastAsia="zh-CN" w:bidi="ar-SA"/>
        </w:rPr>
        <w:t>operating instruction</w:t>
      </w:r>
    </w:p>
    <w:p w14:paraId="2929EE86">
      <w:pPr>
        <w:pageBreakBefore w:val="0"/>
        <w:kinsoku/>
        <w:wordWrap/>
        <w:overflowPunct/>
        <w:topLinePunct w:val="0"/>
        <w:bidi w:val="0"/>
        <w:adjustRightInd w:val="0"/>
        <w:snapToGrid w:val="0"/>
        <w:spacing w:line="288" w:lineRule="auto"/>
        <w:textAlignment w:val="center"/>
        <w:outlineLvl w:val="9"/>
        <w:rPr>
          <w:rFonts w:hint="eastAsia" w:eastAsia="宋体"/>
          <w:b/>
          <w:color w:val="000000"/>
          <w:sz w:val="22"/>
          <w:szCs w:val="22"/>
          <w:lang w:eastAsia="zh-CN"/>
        </w:rPr>
      </w:pPr>
    </w:p>
    <w:p w14:paraId="052DCB7B">
      <w:pPr>
        <w:pageBreakBefore w:val="0"/>
        <w:kinsoku/>
        <w:wordWrap/>
        <w:overflowPunct/>
        <w:topLinePunct w:val="0"/>
        <w:bidi w:val="0"/>
        <w:adjustRightInd w:val="0"/>
        <w:snapToGrid w:val="0"/>
        <w:spacing w:line="288" w:lineRule="auto"/>
        <w:jc w:val="center"/>
        <w:textAlignment w:val="center"/>
        <w:outlineLvl w:val="9"/>
        <w:rPr>
          <w:rFonts w:hint="eastAsia"/>
          <w:b/>
          <w:color w:val="000000"/>
          <w:sz w:val="22"/>
          <w:szCs w:val="22"/>
        </w:rPr>
      </w:pPr>
      <w:r>
        <w:rPr>
          <w:rFonts w:hint="eastAsia" w:ascii="黑体" w:eastAsia="黑体"/>
          <w:color w:val="000000"/>
          <w:spacing w:val="20"/>
          <w:sz w:val="36"/>
          <w:szCs w:val="36"/>
          <w:lang w:eastAsia="zh-CN"/>
        </w:rPr>
        <w:drawing>
          <wp:inline distT="0" distB="0" distL="114300" distR="114300">
            <wp:extent cx="1454785" cy="2912110"/>
            <wp:effectExtent l="0" t="0" r="0" b="0"/>
            <wp:docPr id="34" name="图片 2" descr="C:\Users\Administrator\Desktop\OT135\OT135.pn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descr="C:\Users\Administrator\Desktop\OT135\OT135.pngOT135"/>
                    <pic:cNvPicPr>
                      <a:picLocks noChangeAspect="1"/>
                    </pic:cNvPicPr>
                  </pic:nvPicPr>
                  <pic:blipFill>
                    <a:blip r:embed="rId11"/>
                    <a:stretch>
                      <a:fillRect/>
                    </a:stretch>
                  </pic:blipFill>
                  <pic:spPr>
                    <a:xfrm>
                      <a:off x="0" y="0"/>
                      <a:ext cx="1454785" cy="2912110"/>
                    </a:xfrm>
                    <a:prstGeom prst="rect">
                      <a:avLst/>
                    </a:prstGeom>
                    <a:noFill/>
                    <a:ln>
                      <a:noFill/>
                    </a:ln>
                  </pic:spPr>
                </pic:pic>
              </a:graphicData>
            </a:graphic>
          </wp:inline>
        </w:drawing>
      </w:r>
    </w:p>
    <w:p w14:paraId="029D8200">
      <w:pPr>
        <w:pageBreakBefore w:val="0"/>
        <w:kinsoku/>
        <w:wordWrap/>
        <w:overflowPunct/>
        <w:topLinePunct w:val="0"/>
        <w:bidi w:val="0"/>
        <w:adjustRightInd w:val="0"/>
        <w:snapToGrid w:val="0"/>
        <w:spacing w:line="288" w:lineRule="auto"/>
        <w:textAlignment w:val="center"/>
        <w:outlineLvl w:val="9"/>
        <w:rPr>
          <w:rFonts w:hint="eastAsia"/>
          <w:b/>
          <w:color w:val="000000"/>
          <w:sz w:val="22"/>
          <w:szCs w:val="22"/>
        </w:rPr>
      </w:pPr>
    </w:p>
    <w:p w14:paraId="70DAAD52">
      <w:pPr>
        <w:pageBreakBefore w:val="0"/>
        <w:kinsoku/>
        <w:wordWrap/>
        <w:overflowPunct/>
        <w:topLinePunct w:val="0"/>
        <w:autoSpaceDE w:val="0"/>
        <w:autoSpaceDN w:val="0"/>
        <w:bidi w:val="0"/>
        <w:adjustRightInd w:val="0"/>
        <w:snapToGrid w:val="0"/>
        <w:spacing w:line="312" w:lineRule="auto"/>
        <w:jc w:val="center"/>
        <w:textAlignment w:val="center"/>
        <w:outlineLvl w:val="9"/>
        <w:rPr>
          <w:rFonts w:hint="default" w:ascii="微软雅黑" w:hAnsi="微软雅黑" w:eastAsia="微软雅黑" w:cs="微软雅黑"/>
          <w:bCs/>
          <w:color w:val="000000"/>
          <w:kern w:val="0"/>
          <w:sz w:val="28"/>
          <w:szCs w:val="28"/>
          <w:lang w:val="en-US"/>
        </w:rPr>
      </w:pPr>
      <w:r>
        <w:rPr>
          <w:rFonts w:hint="default" w:ascii="Times New Roman" w:hAnsi="微软雅黑" w:eastAsia="微软雅黑" w:cs="微软雅黑"/>
          <w:b/>
          <w:bCs w:val="0"/>
          <w:color w:val="000000"/>
          <w:kern w:val="0"/>
          <w:sz w:val="28"/>
          <w:szCs w:val="28"/>
          <w:lang w:val="en-US" w:eastAsia="zh-CN" w:bidi="ar-SA"/>
        </w:rPr>
        <w:t>Henan Outewell Electronic Technology Co., Ltd.</w:t>
      </w:r>
    </w:p>
    <w:p w14:paraId="42188803">
      <w:pPr>
        <w:pageBreakBefore w:val="0"/>
        <w:kinsoku/>
        <w:wordWrap/>
        <w:overflowPunct/>
        <w:topLinePunct w:val="0"/>
        <w:autoSpaceDE w:val="0"/>
        <w:autoSpaceDN w:val="0"/>
        <w:bidi w:val="0"/>
        <w:adjustRightInd w:val="0"/>
        <w:snapToGrid w:val="0"/>
        <w:spacing w:line="288" w:lineRule="auto"/>
        <w:ind w:right="778"/>
        <w:jc w:val="center"/>
        <w:textAlignment w:val="center"/>
        <w:outlineLvl w:val="9"/>
        <w:rPr>
          <w:rFonts w:hint="default" w:ascii="微软雅黑" w:hAnsi="微软雅黑" w:eastAsia="微软雅黑" w:cs="微软雅黑"/>
          <w:bCs/>
          <w:color w:val="000000"/>
          <w:kern w:val="0"/>
          <w:sz w:val="20"/>
          <w:szCs w:val="20"/>
          <w:lang w:val="en-US"/>
        </w:rPr>
      </w:pPr>
      <w:r>
        <w:rPr>
          <w:rFonts w:hint="default" w:ascii="Times New Roman" w:hAnsi="微软雅黑" w:eastAsia="微软雅黑" w:cs="微软雅黑"/>
          <w:b/>
          <w:bCs w:val="0"/>
          <w:color w:val="000000"/>
          <w:kern w:val="0"/>
          <w:sz w:val="20"/>
          <w:szCs w:val="20"/>
          <w:lang w:val="en-US" w:eastAsia="zh-CN" w:bidi="ar-SA"/>
        </w:rPr>
        <w:t>ISO9001 Quality Management System Certified Enterprise</w:t>
      </w:r>
    </w:p>
    <w:p w14:paraId="136783EA">
      <w:pPr>
        <w:pageBreakBefore w:val="0"/>
        <w:kinsoku/>
        <w:wordWrap/>
        <w:overflowPunct/>
        <w:topLinePunct w:val="0"/>
        <w:autoSpaceDE w:val="0"/>
        <w:autoSpaceDN w:val="0"/>
        <w:bidi w:val="0"/>
        <w:adjustRightInd w:val="0"/>
        <w:snapToGrid w:val="0"/>
        <w:spacing w:line="288" w:lineRule="auto"/>
        <w:ind w:right="-1"/>
        <w:jc w:val="left"/>
        <w:textAlignment w:val="center"/>
        <w:outlineLvl w:val="9"/>
        <w:rPr>
          <w:rFonts w:hint="eastAsia" w:ascii="微软雅黑" w:hAnsi="微软雅黑" w:eastAsia="微软雅黑" w:cs="微软雅黑"/>
          <w:color w:val="000000"/>
          <w:sz w:val="10"/>
          <w:szCs w:val="10"/>
        </w:rPr>
        <w:sectPr>
          <w:headerReference r:id="rId3" w:type="default"/>
          <w:pgSz w:w="8392" w:h="11850" w:orient="landscape"/>
          <w:pgMar w:top="1020" w:right="1020" w:bottom="1020" w:left="1020" w:header="510" w:footer="510" w:gutter="0"/>
          <w:pgNumType w:start="0"/>
          <w:cols w:space="720" w:num="1"/>
          <w:docGrid w:type="lines" w:linePitch="316" w:charSpace="0"/>
        </w:sectPr>
      </w:pPr>
    </w:p>
    <w:p w14:paraId="3E198CA5">
      <w:pPr>
        <w:pageBreakBefore w:val="0"/>
        <w:kinsoku/>
        <w:wordWrap/>
        <w:overflowPunct/>
        <w:topLinePunct w:val="0"/>
        <w:autoSpaceDE w:val="0"/>
        <w:autoSpaceDN w:val="0"/>
        <w:bidi w:val="0"/>
        <w:adjustRightInd w:val="0"/>
        <w:snapToGrid w:val="0"/>
        <w:spacing w:line="240" w:lineRule="auto"/>
        <w:ind w:right="-1" w:firstLine="360" w:firstLineChars="200"/>
        <w:jc w:val="left"/>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Thank you for using Henan Outeiwei product series. Before using this product, please carefully read the instructions and follow the provided operational steps to fully utilize our services while avoiding potential damage to the device or other accidents caused by improper operation.</w:t>
      </w:r>
    </w:p>
    <w:p w14:paraId="49025EF9">
      <w:pPr>
        <w:pageBreakBefore w:val="0"/>
        <w:kinsoku/>
        <w:wordWrap/>
        <w:overflowPunct/>
        <w:topLinePunct w:val="0"/>
        <w:bidi w:val="0"/>
        <w:adjustRightInd w:val="0"/>
        <w:snapToGrid w:val="0"/>
        <w:spacing w:line="240" w:lineRule="auto"/>
        <w:ind w:firstLine="360" w:firstLineChars="200"/>
        <w:textAlignment w:val="center"/>
        <w:outlineLvl w:val="9"/>
        <w:rPr>
          <w:rFonts w:hint="default" w:ascii="微软雅黑" w:hAnsi="微软雅黑" w:eastAsia="微软雅黑" w:cs="微软雅黑"/>
          <w:b/>
          <w:bCs/>
          <w:color w:val="000000"/>
          <w:sz w:val="18"/>
          <w:szCs w:val="18"/>
          <w:lang w:val="en-US"/>
        </w:rPr>
      </w:pPr>
      <w:r>
        <w:rPr>
          <w:rFonts w:hint="default" w:ascii="Times New Roman" w:hAnsi="微软雅黑" w:eastAsia="微软雅黑" w:cs="微软雅黑"/>
          <w:b/>
          <w:bCs/>
          <w:color w:val="000000"/>
          <w:kern w:val="2"/>
          <w:sz w:val="18"/>
          <w:szCs w:val="18"/>
          <w:lang w:val="en-US" w:eastAsia="zh-CN" w:bidi="ar-SA"/>
        </w:rPr>
        <w:t>Please keep this manual properly for easy reference and assistance when needed in the future.</w:t>
      </w:r>
    </w:p>
    <w:p w14:paraId="3C81CD19">
      <w:pPr>
        <w:pageBreakBefore w:val="0"/>
        <w:kinsoku/>
        <w:wordWrap/>
        <w:overflowPunct/>
        <w:topLinePunct w:val="0"/>
        <w:bidi w:val="0"/>
        <w:adjustRightInd w:val="0"/>
        <w:snapToGrid w:val="0"/>
        <w:spacing w:line="240" w:lineRule="auto"/>
        <w:ind w:firstLine="360" w:firstLineChars="200"/>
        <w:textAlignment w:val="center"/>
        <w:outlineLvl w:val="9"/>
        <w:rPr>
          <w:rFonts w:hint="eastAsia" w:ascii="微软雅黑" w:hAnsi="微软雅黑" w:eastAsia="微软雅黑" w:cs="微软雅黑"/>
          <w:b/>
          <w:bCs/>
          <w:color w:val="000000"/>
          <w:sz w:val="18"/>
          <w:szCs w:val="18"/>
        </w:rPr>
      </w:pPr>
    </w:p>
    <w:p w14:paraId="6A80F593">
      <w:pPr>
        <w:pageBreakBefore w:val="0"/>
        <w:kinsoku/>
        <w:wordWrap/>
        <w:overflowPunct/>
        <w:topLinePunct w:val="0"/>
        <w:bidi w:val="0"/>
        <w:adjustRightInd w:val="0"/>
        <w:snapToGrid w:val="0"/>
        <w:textAlignment w:val="center"/>
        <w:outlineLvl w:val="9"/>
        <w:rPr>
          <w:rFonts w:hint="default" w:ascii="微软雅黑" w:hAnsi="微软雅黑" w:eastAsia="微软雅黑" w:cs="微软雅黑"/>
          <w:b/>
          <w:bCs/>
          <w:color w:val="000000"/>
          <w:sz w:val="18"/>
          <w:szCs w:val="18"/>
          <w:lang w:val="en-US"/>
        </w:rPr>
      </w:pPr>
      <w:r>
        <w:rPr>
          <w:rFonts w:hint="default" w:ascii="Times New Roman" w:hAnsi="微软雅黑" w:eastAsia="微软雅黑" w:cs="微软雅黑"/>
          <w:b/>
          <w:bCs/>
          <w:color w:val="000000"/>
          <w:kern w:val="2"/>
          <w:sz w:val="18"/>
          <w:szCs w:val="18"/>
          <w:lang w:val="en-US" w:eastAsia="zh-CN" w:bidi="ar-SA"/>
        </w:rPr>
        <w:t>Copyright Statement</w:t>
      </w:r>
    </w:p>
    <w:p w14:paraId="7618403A">
      <w:pPr>
        <w:pageBreakBefore w:val="0"/>
        <w:kinsoku/>
        <w:wordWrap/>
        <w:overflowPunct/>
        <w:topLinePunct w:val="0"/>
        <w:bidi w:val="0"/>
        <w:adjustRightInd w:val="0"/>
        <w:snapToGrid w:val="0"/>
        <w:ind w:firstLine="360" w:firstLineChars="200"/>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This manual is copyrighted by Henan Outeiwei Company. Without written permission, no part of this manual may be reproduced, translated, stored in databases or retrieval systems, or disseminated through any means or methods such as electronic transmission, photocopying, or audio recording.</w:t>
      </w:r>
    </w:p>
    <w:p w14:paraId="454B3FBA">
      <w:pPr>
        <w:pageBreakBefore w:val="0"/>
        <w:kinsoku/>
        <w:wordWrap/>
        <w:overflowPunct/>
        <w:topLinePunct w:val="0"/>
        <w:bidi w:val="0"/>
        <w:adjustRightInd w:val="0"/>
        <w:snapToGrid w:val="0"/>
        <w:ind w:firstLine="360" w:firstLineChars="200"/>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Henan Outewell Company adheres to the principle of technological advancement, continuously striving for product improvement and performance enhancement. The company reserves the right to make any product modifications without prior notice.</w:t>
      </w:r>
    </w:p>
    <w:p w14:paraId="442AFDD4">
      <w:pPr>
        <w:pageBreakBefore w:val="0"/>
        <w:kinsoku/>
        <w:wordWrap/>
        <w:overflowPunct/>
        <w:topLinePunct w:val="0"/>
        <w:bidi w:val="0"/>
        <w:adjustRightInd w:val="0"/>
        <w:snapToGrid w:val="0"/>
        <w:ind w:firstLine="360" w:firstLineChars="200"/>
        <w:textAlignment w:val="center"/>
        <w:outlineLvl w:val="9"/>
        <w:rPr>
          <w:rFonts w:hint="default" w:ascii="微软雅黑" w:hAnsi="微软雅黑" w:eastAsia="微软雅黑" w:cs="微软雅黑"/>
          <w:color w:val="000000"/>
          <w:sz w:val="18"/>
          <w:szCs w:val="18"/>
          <w:lang w:val="en-US"/>
        </w:rPr>
      </w:pPr>
      <w:bookmarkStart w:id="0" w:name="OLE_LINK1"/>
      <w:r>
        <w:rPr>
          <w:rFonts w:hint="default" w:ascii="Times New Roman" w:hAnsi="微软雅黑" w:eastAsia="微软雅黑" w:cs="微软雅黑"/>
          <w:color w:val="000000"/>
          <w:kern w:val="2"/>
          <w:sz w:val="18"/>
          <w:szCs w:val="18"/>
          <w:lang w:val="en-US" w:eastAsia="zh-CN" w:bidi="ar-SA"/>
        </w:rPr>
        <w:t>If users install, repair, or replace components without following the instructions in this manual, they shall bear all resulting liabilities.</w:t>
      </w:r>
      <w:bookmarkEnd w:id="0"/>
    </w:p>
    <w:p w14:paraId="1F25AAA1">
      <w:pPr>
        <w:pageBreakBefore w:val="0"/>
        <w:kinsoku/>
        <w:wordWrap/>
        <w:overflowPunct/>
        <w:topLinePunct w:val="0"/>
        <w:bidi w:val="0"/>
        <w:adjustRightInd w:val="0"/>
        <w:snapToGrid w:val="0"/>
        <w:ind w:firstLine="360" w:firstLineChars="200"/>
        <w:textAlignment w:val="center"/>
        <w:outlineLvl w:val="9"/>
        <w:rPr>
          <w:rFonts w:hint="eastAsia" w:ascii="微软雅黑" w:hAnsi="微软雅黑" w:eastAsia="微软雅黑" w:cs="微软雅黑"/>
          <w:color w:val="000000"/>
          <w:sz w:val="18"/>
          <w:szCs w:val="18"/>
        </w:rPr>
      </w:pPr>
    </w:p>
    <w:p w14:paraId="001179C2">
      <w:pPr>
        <w:pageBreakBefore w:val="0"/>
        <w:kinsoku/>
        <w:wordWrap/>
        <w:overflowPunct/>
        <w:topLinePunct w:val="0"/>
        <w:bidi w:val="0"/>
        <w:adjustRightInd w:val="0"/>
        <w:snapToGrid w:val="0"/>
        <w:textAlignment w:val="center"/>
        <w:outlineLvl w:val="9"/>
        <w:rPr>
          <w:rFonts w:hint="default" w:ascii="微软雅黑" w:hAnsi="微软雅黑" w:eastAsia="微软雅黑" w:cs="微软雅黑"/>
          <w:b/>
          <w:bCs/>
          <w:color w:val="000000"/>
          <w:sz w:val="18"/>
          <w:szCs w:val="18"/>
          <w:lang w:val="en-US"/>
        </w:rPr>
      </w:pPr>
      <w:r>
        <w:rPr>
          <w:rFonts w:hint="default" w:ascii="Times New Roman" w:hAnsi="微软雅黑" w:eastAsia="微软雅黑" w:cs="微软雅黑"/>
          <w:b/>
          <w:bCs/>
          <w:color w:val="000000"/>
          <w:kern w:val="2"/>
          <w:sz w:val="18"/>
          <w:szCs w:val="18"/>
          <w:lang w:val="en-US" w:eastAsia="zh-CN" w:bidi="ar-SA"/>
        </w:rPr>
        <w:t>User Service Guide</w:t>
      </w:r>
    </w:p>
    <w:p w14:paraId="5F027A09">
      <w:pPr>
        <w:pageBreakBefore w:val="0"/>
        <w:numPr>
          <w:ilvl w:val="0"/>
          <w:numId w:val="1"/>
        </w:numPr>
        <w:kinsoku/>
        <w:wordWrap/>
        <w:overflowPunct/>
        <w:topLinePunct w:val="0"/>
        <w:bidi w:val="0"/>
        <w:adjustRightInd w:val="0"/>
        <w:snapToGrid w:val="0"/>
        <w:ind w:left="360" w:leftChars="0" w:hanging="360" w:firstLineChars="0"/>
        <w:textAlignment w:val="center"/>
        <w:outlineLvl w:val="9"/>
        <w:rPr>
          <w:rFonts w:hint="eastAsia" w:ascii="微软雅黑" w:hAnsi="微软雅黑" w:eastAsia="微软雅黑" w:cs="微软雅黑"/>
          <w:b w:val="0"/>
          <w:bCs w:val="0"/>
          <w:color w:val="000000"/>
          <w:sz w:val="18"/>
          <w:szCs w:val="18"/>
        </w:rPr>
      </w:pPr>
      <w:r>
        <w:rPr>
          <w:rFonts w:hint="default" w:ascii="Times New Roman" w:hAnsi="微软雅黑" w:eastAsia="微软雅黑" w:cs="微软雅黑"/>
          <w:b w:val="0"/>
          <w:bCs w:val="0"/>
          <w:color w:val="000000"/>
          <w:kern w:val="2"/>
          <w:sz w:val="18"/>
          <w:szCs w:val="18"/>
          <w:lang w:val="en-US" w:eastAsia="zh-CN" w:bidi="ar-SA"/>
        </w:rPr>
        <w:t>Before using this product, please carefully verify that all attachments, product certification, and user warranty card are complete according to the factory list. If any items are missing, contact the seller or manufacturer immediately.</w:t>
      </w:r>
    </w:p>
    <w:p w14:paraId="3FBA8C2B">
      <w:pPr>
        <w:pageBreakBefore w:val="0"/>
        <w:numPr>
          <w:ilvl w:val="0"/>
          <w:numId w:val="1"/>
        </w:numPr>
        <w:tabs>
          <w:tab w:val="left" w:pos="0"/>
          <w:tab w:val="clear" w:pos="360"/>
        </w:tabs>
        <w:kinsoku/>
        <w:wordWrap/>
        <w:overflowPunct/>
        <w:topLinePunct w:val="0"/>
        <w:bidi w:val="0"/>
        <w:adjustRightInd w:val="0"/>
        <w:snapToGrid w:val="0"/>
        <w:ind w:left="360" w:leftChars="0" w:hanging="360" w:firstLineChars="0"/>
        <w:textAlignment w:val="center"/>
        <w:outlineLvl w:val="9"/>
        <w:rPr>
          <w:rFonts w:hint="eastAsia" w:ascii="微软雅黑" w:hAnsi="微软雅黑" w:eastAsia="微软雅黑" w:cs="微软雅黑"/>
          <w:b w:val="0"/>
          <w:bCs w:val="0"/>
          <w:color w:val="000000"/>
          <w:sz w:val="18"/>
          <w:szCs w:val="18"/>
        </w:rPr>
      </w:pPr>
      <w:r>
        <w:rPr>
          <w:rFonts w:hint="default" w:ascii="Times New Roman" w:hAnsi="微软雅黑" w:eastAsia="微软雅黑" w:cs="微软雅黑"/>
          <w:b w:val="0"/>
          <w:bCs w:val="0"/>
          <w:color w:val="000000"/>
          <w:kern w:val="2"/>
          <w:sz w:val="18"/>
          <w:szCs w:val="18"/>
          <w:lang w:val="en-US" w:eastAsia="zh-CN" w:bidi="ar-SA"/>
        </w:rPr>
        <w:t>For products sold within twelve months from the date of sale, if the product quality falls below the technical specifications while users comply with storage, transportation, and usage requirements, free repairs will be provided upon presentation of the warranty certificate.</w:t>
      </w:r>
    </w:p>
    <w:p w14:paraId="03A865EB">
      <w:pPr>
        <w:pageBreakBefore w:val="0"/>
        <w:numPr>
          <w:ilvl w:val="0"/>
          <w:numId w:val="1"/>
        </w:numPr>
        <w:tabs>
          <w:tab w:val="left" w:pos="0"/>
          <w:tab w:val="clear" w:pos="360"/>
        </w:tabs>
        <w:kinsoku/>
        <w:wordWrap/>
        <w:overflowPunct/>
        <w:topLinePunct w:val="0"/>
        <w:bidi w:val="0"/>
        <w:adjustRightInd w:val="0"/>
        <w:snapToGrid w:val="0"/>
        <w:ind w:left="360" w:leftChars="0" w:hanging="360" w:firstLineChars="0"/>
        <w:textAlignment w:val="center"/>
        <w:outlineLvl w:val="9"/>
        <w:rPr>
          <w:rFonts w:hint="eastAsia" w:ascii="微软雅黑" w:hAnsi="微软雅黑" w:eastAsia="微软雅黑" w:cs="微软雅黑"/>
          <w:b w:val="0"/>
          <w:bCs w:val="0"/>
          <w:color w:val="000000"/>
          <w:sz w:val="18"/>
          <w:szCs w:val="18"/>
        </w:rPr>
      </w:pPr>
      <w:r>
        <w:rPr>
          <w:rFonts w:hint="default" w:ascii="Times New Roman" w:hAnsi="微软雅黑" w:eastAsia="微软雅黑" w:cs="微软雅黑"/>
          <w:b w:val="0"/>
          <w:bCs w:val="0"/>
          <w:color w:val="000000"/>
          <w:kern w:val="2"/>
          <w:sz w:val="18"/>
          <w:szCs w:val="18"/>
          <w:lang w:val="en-US" w:eastAsia="zh-CN" w:bidi="ar-SA"/>
        </w:rPr>
        <w:t>For damages caused by violations of operational regulations and requirements, malfunctions not repaired by the designated authorized technical service department, or product quality issues resulting from force majeure factors, our company will charge for repair services.</w:t>
      </w:r>
    </w:p>
    <w:p w14:paraId="7A537855">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default" w:ascii="微软雅黑" w:hAnsi="微软雅黑" w:eastAsia="微软雅黑" w:cs="微软雅黑"/>
          <w:b/>
          <w:sz w:val="18"/>
          <w:szCs w:val="18"/>
          <w:lang w:val="en-US"/>
        </w:rPr>
      </w:pPr>
      <w:r>
        <w:rPr>
          <w:rFonts w:hint="default" w:ascii="Times New Roman" w:hAnsi="微软雅黑" w:eastAsia="微软雅黑" w:cs="微软雅黑"/>
          <w:b w:val="0"/>
          <w:bCs w:val="0"/>
          <w:color w:val="000000"/>
          <w:kern w:val="2"/>
          <w:sz w:val="18"/>
          <w:szCs w:val="18"/>
          <w:lang w:val="en-US" w:eastAsia="zh-CN" w:bidi="ar-SA"/>
        </w:rPr>
        <w:t>4 When repairing the product, please present the product warranty card proactively. Failure to provide the warranty card will result in charged repairs.</w:t>
      </w:r>
    </w:p>
    <w:p w14:paraId="06E0EBC0">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default" w:ascii="微软雅黑" w:hAnsi="微软雅黑" w:eastAsia="微软雅黑" w:cs="微软雅黑"/>
          <w:b/>
          <w:sz w:val="18"/>
          <w:szCs w:val="18"/>
          <w:lang w:val="en-US"/>
        </w:rPr>
      </w:pPr>
      <w:r>
        <w:rPr>
          <w:rFonts w:hint="default" w:ascii="Times New Roman" w:hAnsi="微软雅黑" w:eastAsia="微软雅黑" w:cs="微软雅黑"/>
          <w:b w:val="0"/>
          <w:bCs w:val="0"/>
          <w:color w:val="000000"/>
          <w:kern w:val="2"/>
          <w:sz w:val="18"/>
          <w:szCs w:val="18"/>
          <w:lang w:val="en-US" w:eastAsia="zh-CN" w:bidi="ar-SA"/>
        </w:rPr>
        <w:t>5. After product maintenance or repair, please present this manual. The maintenance personnel will fill out and sign the attached "Maintenance and Repair Record." Additionally, please sign the maintenance personnel's "Maintenance and Repair Record" to confirm the maintenance/repair details and provide valuable feedback. For institutional users, please affix the official seal.</w:t>
      </w:r>
    </w:p>
    <w:p w14:paraId="526C99D6">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default" w:ascii="微软雅黑" w:hAnsi="微软雅黑" w:eastAsia="微软雅黑" w:cs="微软雅黑"/>
          <w:b w:val="0"/>
          <w:bCs w:val="0"/>
          <w:color w:val="000000"/>
          <w:sz w:val="18"/>
          <w:szCs w:val="18"/>
          <w:lang w:val="en-US"/>
        </w:rPr>
      </w:pPr>
      <w:r>
        <w:rPr>
          <w:rFonts w:hint="default" w:ascii="Times New Roman" w:hAnsi="微软雅黑" w:eastAsia="微软雅黑" w:cs="微软雅黑"/>
          <w:b w:val="0"/>
          <w:bCs w:val="0"/>
          <w:color w:val="000000"/>
          <w:kern w:val="2"/>
          <w:sz w:val="18"/>
          <w:szCs w:val="18"/>
          <w:lang w:val="en-US" w:eastAsia="zh-CN" w:bidi="ar-SA"/>
        </w:rPr>
        <w:t>6 If you have any questions or concerns regarding our products and services—including technical specifications, quality standards, installation and maintenance, service attitude, or pricing—we kindly ask you to contact us promptly. Your feedback will be addressed with due consideration.</w:t>
      </w:r>
    </w:p>
    <w:p w14:paraId="51A19F79">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eastAsia" w:ascii="微软雅黑" w:hAnsi="微软雅黑" w:eastAsia="微软雅黑" w:cs="微软雅黑"/>
          <w:b w:val="0"/>
          <w:bCs w:val="0"/>
          <w:color w:val="000000"/>
          <w:sz w:val="18"/>
          <w:szCs w:val="18"/>
        </w:rPr>
      </w:pPr>
    </w:p>
    <w:p w14:paraId="4B0C5CA8">
      <w:pPr>
        <w:pageBreakBefore w:val="0"/>
        <w:numPr>
          <w:ilvl w:val="0"/>
          <w:numId w:val="0"/>
        </w:numPr>
        <w:tabs>
          <w:tab w:val="left" w:pos="0"/>
        </w:tabs>
        <w:kinsoku/>
        <w:wordWrap/>
        <w:overflowPunct/>
        <w:topLinePunct w:val="0"/>
        <w:bidi w:val="0"/>
        <w:adjustRightInd w:val="0"/>
        <w:snapToGrid w:val="0"/>
        <w:ind w:leftChars="0"/>
        <w:textAlignment w:val="center"/>
        <w:outlineLvl w:val="9"/>
        <w:rPr>
          <w:rFonts w:hint="eastAsia" w:ascii="微软雅黑" w:hAnsi="微软雅黑" w:eastAsia="微软雅黑" w:cs="微软雅黑"/>
          <w:b w:val="0"/>
          <w:bCs w:val="0"/>
          <w:color w:val="000000"/>
          <w:sz w:val="18"/>
          <w:szCs w:val="18"/>
        </w:rPr>
      </w:pPr>
    </w:p>
    <w:p w14:paraId="70F414BB">
      <w:pPr>
        <w:pageBreakBefore w:val="0"/>
        <w:kinsoku/>
        <w:wordWrap/>
        <w:overflowPunct/>
        <w:topLinePunct w:val="0"/>
        <w:bidi w:val="0"/>
        <w:spacing w:line="0" w:lineRule="atLeast"/>
        <w:textAlignment w:val="center"/>
        <w:outlineLvl w:val="9"/>
        <w:rPr>
          <w:rFonts w:hint="eastAsia" w:ascii="微软雅黑" w:hAnsi="微软雅黑" w:eastAsia="微软雅黑" w:cs="微软雅黑"/>
          <w:b w:val="0"/>
          <w:bCs/>
          <w:sz w:val="13"/>
          <w:szCs w:val="13"/>
        </w:rPr>
      </w:pPr>
      <w:r>
        <w:rPr>
          <w:rFonts w:hint="eastAsia" w:ascii="微软雅黑" w:hAnsi="微软雅黑" w:eastAsia="微软雅黑" w:cs="微软雅黑"/>
          <w:b w:val="0"/>
          <w:bCs/>
          <w:sz w:val="13"/>
          <w:szCs w:val="13"/>
        </w:rPr>
        <w:br w:type="page"/>
      </w:r>
    </w:p>
    <w:p w14:paraId="1D862BD9">
      <w:pPr>
        <w:pageBreakBefore w:val="0"/>
        <w:kinsoku/>
        <w:wordWrap/>
        <w:overflowPunct/>
        <w:topLinePunct w:val="0"/>
        <w:bidi w:val="0"/>
        <w:spacing w:line="0" w:lineRule="atLeast"/>
        <w:textAlignment w:val="center"/>
        <w:outlineLvl w:val="9"/>
        <w:rPr>
          <w:rFonts w:hint="eastAsia" w:ascii="微软雅黑" w:hAnsi="微软雅黑" w:eastAsia="微软雅黑" w:cs="微软雅黑"/>
          <w:b w:val="0"/>
          <w:bCs/>
          <w:sz w:val="13"/>
          <w:szCs w:val="13"/>
        </w:rPr>
      </w:pPr>
    </w:p>
    <w:p w14:paraId="4FDDD030">
      <w:pPr>
        <w:pageBreakBefore w:val="0"/>
        <w:kinsoku/>
        <w:wordWrap/>
        <w:overflowPunct/>
        <w:topLinePunct w:val="0"/>
        <w:bidi w:val="0"/>
        <w:adjustRightInd w:val="0"/>
        <w:snapToGrid w:val="0"/>
        <w:spacing w:line="288" w:lineRule="auto"/>
        <w:jc w:val="center"/>
        <w:textAlignment w:val="center"/>
        <w:outlineLvl w:val="9"/>
        <w:rPr>
          <w:rFonts w:hint="default" w:ascii="微软雅黑" w:hAnsi="微软雅黑" w:eastAsia="微软雅黑" w:cs="微软雅黑"/>
          <w:b/>
          <w:color w:val="000000"/>
          <w:sz w:val="18"/>
          <w:szCs w:val="18"/>
          <w:lang w:val="en-US"/>
        </w:rPr>
      </w:pPr>
      <w:r>
        <w:rPr>
          <w:rFonts w:hint="default" w:ascii="Times New Roman" w:hAnsi="微软雅黑" w:eastAsia="微软雅黑" w:cs="微软雅黑"/>
          <w:b/>
          <w:bCs/>
          <w:color w:val="000000"/>
          <w:kern w:val="2"/>
          <w:sz w:val="28"/>
          <w:szCs w:val="28"/>
          <w:lang w:val="en-US" w:eastAsia="zh-CN" w:bidi="ar-SA"/>
        </w:rPr>
        <w:t>catalogue</w:t>
      </w:r>
    </w:p>
    <w:p w14:paraId="7E01CF74">
      <w:pPr>
        <w:pStyle w:val="4"/>
        <w:tabs>
          <w:tab w:val="right" w:leader="dot" w:pos="6352"/>
        </w:tabs>
        <w:rPr>
          <w:rFonts w:hint="default"/>
          <w:lang w:val="en-US"/>
        </w:rPr>
      </w:pPr>
      <w:r>
        <w:rPr>
          <w:rFonts w:hint="eastAsia" w:ascii="微软雅黑" w:hAnsi="微软雅黑" w:eastAsia="微软雅黑" w:cs="微软雅黑"/>
          <w:b w:val="0"/>
          <w:color w:val="000000"/>
          <w:sz w:val="22"/>
          <w:szCs w:val="22"/>
        </w:rPr>
        <w:fldChar w:fldCharType="begin"/>
      </w:r>
      <w:r>
        <w:rPr>
          <w:rFonts w:hint="eastAsia" w:ascii="微软雅黑" w:hAnsi="微软雅黑" w:eastAsia="微软雅黑" w:cs="微软雅黑"/>
          <w:b w:val="0"/>
          <w:color w:val="000000"/>
          <w:sz w:val="22"/>
          <w:szCs w:val="22"/>
        </w:rPr>
        <w:instrText xml:space="preserve">TOC \o "1-1" \h \u </w:instrText>
      </w:r>
      <w:r>
        <w:rPr>
          <w:rFonts w:hint="eastAsia" w:ascii="微软雅黑" w:hAnsi="微软雅黑" w:eastAsia="微软雅黑" w:cs="微软雅黑"/>
          <w:b w:val="0"/>
          <w:color w:val="000000"/>
          <w:sz w:val="22"/>
          <w:szCs w:val="22"/>
        </w:rPr>
        <w:fldChar w:fldCharType="separate"/>
      </w:r>
      <w:bookmarkStart w:id="1" w:name="_Toc240700428"/>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"_Toc30763"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 Overview 1</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5</w:t>
      </w:r>
      <w:r>
        <w:rPr>
          <w:rFonts w:hint="default" w:ascii="Times New Roman" w:hAnsi="微软雅黑" w:eastAsia="微软雅黑" w:cs="微软雅黑"/>
          <w:color w:val="000000"/>
          <w:szCs w:val="22"/>
          <w:lang w:val="en-US"/>
        </w:rPr>
        <w:fldChar w:fldCharType="end"/>
      </w:r>
      <w:bookmarkEnd w:id="1"/>
    </w:p>
    <w:p w14:paraId="7CC2684B">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"_Toc18017"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II. Main Technical Specifications 2</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6</w:t>
      </w:r>
      <w:r>
        <w:rPr>
          <w:rFonts w:hint="default" w:ascii="Times New Roman" w:hAnsi="微软雅黑" w:eastAsia="微软雅黑" w:cs="微软雅黑"/>
          <w:color w:val="000000"/>
          <w:szCs w:val="22"/>
          <w:lang w:val="en-US"/>
        </w:rPr>
        <w:fldChar w:fldCharType="end"/>
      </w:r>
    </w:p>
    <w:p w14:paraId="2F8FD872">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"_Toc3422"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III. Product Appearance, Functionality, and Instructions 3</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6</w:t>
      </w:r>
      <w:r>
        <w:rPr>
          <w:rFonts w:hint="default" w:ascii="Times New Roman" w:hAnsi="微软雅黑" w:eastAsia="微软雅黑" w:cs="微软雅黑"/>
          <w:color w:val="000000"/>
          <w:szCs w:val="22"/>
          <w:lang w:val="en-US"/>
        </w:rPr>
        <w:fldChar w:fldCharType="end"/>
      </w:r>
    </w:p>
    <w:p w14:paraId="1B0DD7DC">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"_Toc21814"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IV. Product Operation Instructions 3</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7</w:t>
      </w:r>
      <w:r>
        <w:rPr>
          <w:rFonts w:hint="default" w:ascii="Times New Roman" w:hAnsi="微软雅黑" w:eastAsia="微软雅黑" w:cs="微软雅黑"/>
          <w:color w:val="000000"/>
          <w:szCs w:val="22"/>
          <w:lang w:val="en-US"/>
        </w:rPr>
        <w:fldChar w:fldCharType="end"/>
      </w:r>
    </w:p>
    <w:p w14:paraId="1B346A97">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"_Toc21043"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V. Precautions for Use 9</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13</w:t>
      </w:r>
      <w:r>
        <w:rPr>
          <w:rFonts w:hint="default" w:ascii="Times New Roman" w:hAnsi="微软雅黑" w:eastAsia="微软雅黑" w:cs="微软雅黑"/>
          <w:color w:val="000000"/>
          <w:szCs w:val="22"/>
          <w:lang w:val="en-US"/>
        </w:rPr>
        <w:fldChar w:fldCharType="end"/>
      </w:r>
    </w:p>
    <w:p w14:paraId="0D7F60EA">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"_Toc7387"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VI. Common Faults and Their Solutions 10</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14</w:t>
      </w:r>
      <w:r>
        <w:rPr>
          <w:rFonts w:hint="default" w:ascii="Times New Roman" w:hAnsi="微软雅黑" w:eastAsia="微软雅黑" w:cs="微软雅黑"/>
          <w:color w:val="000000"/>
          <w:szCs w:val="22"/>
          <w:lang w:val="en-US"/>
        </w:rPr>
        <w:fldChar w:fldCharType="end"/>
      </w:r>
    </w:p>
    <w:p w14:paraId="73F01D30">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"_Toc31354"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VII. Warranty and Maintenance 11</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15</w:t>
      </w:r>
      <w:r>
        <w:rPr>
          <w:rFonts w:hint="default" w:ascii="Times New Roman" w:hAnsi="微软雅黑" w:eastAsia="微软雅黑" w:cs="微软雅黑"/>
          <w:color w:val="000000"/>
          <w:szCs w:val="22"/>
          <w:lang w:val="en-US"/>
        </w:rPr>
        <w:fldChar w:fldCharType="end"/>
      </w:r>
    </w:p>
    <w:p w14:paraId="7D2352F7">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"_Toc24969"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VIII. Storage 11</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15</w:t>
      </w:r>
      <w:r>
        <w:rPr>
          <w:rFonts w:hint="default" w:ascii="Times New Roman" w:hAnsi="微软雅黑" w:eastAsia="微软雅黑" w:cs="微软雅黑"/>
          <w:color w:val="000000"/>
          <w:szCs w:val="22"/>
          <w:lang w:val="en-US"/>
        </w:rPr>
        <w:fldChar w:fldCharType="end"/>
      </w:r>
    </w:p>
    <w:p w14:paraId="29B78F74">
      <w:pPr>
        <w:pStyle w:val="4"/>
        <w:tabs>
          <w:tab w:val="right" w:leader="dot" w:pos="6352"/>
        </w:tabs>
        <w:rPr>
          <w:rFonts w:hint="default"/>
          <w:lang w:val="en-US"/>
        </w:rPr>
      </w:pPr>
      <w:r>
        <w:rPr>
          <w:rFonts w:hint="default" w:ascii="Times New Roman" w:hAnsi="微软雅黑" w:eastAsia="微软雅黑" w:cs="微软雅黑"/>
          <w:color w:val="000000"/>
          <w:szCs w:val="22"/>
          <w:lang w:val="en-US"/>
        </w:rPr>
        <w:fldChar w:fldCharType="begin"/>
      </w:r>
      <w:r>
        <w:rPr>
          <w:rFonts w:hint="default" w:ascii="Times New Roman" w:hAnsi="微软雅黑" w:eastAsia="微软雅黑" w:cs="微软雅黑"/>
          <w:color w:val="000000"/>
          <w:szCs w:val="22"/>
          <w:lang w:val="en-US"/>
        </w:rPr>
        <w:instrText xml:space="preserve"> HYPERLINK \l "_Toc17030" </w:instrText>
      </w:r>
      <w:r>
        <w:rPr>
          <w:rFonts w:hint="default" w:ascii="Times New Roman" w:hAnsi="微软雅黑" w:eastAsia="微软雅黑" w:cs="微软雅黑"/>
          <w:color w:val="000000"/>
          <w:szCs w:val="22"/>
          <w:lang w:val="en-US"/>
        </w:rPr>
        <w:fldChar w:fldCharType="separate"/>
      </w:r>
      <w:r>
        <w:rPr>
          <w:rStyle w:val="8"/>
          <w:rFonts w:hint="default" w:ascii="Times New Roman" w:hAnsi="微软雅黑" w:eastAsia="微软雅黑" w:cs="微软雅黑"/>
          <w:szCs w:val="22"/>
          <w:lang w:val="en-US"/>
        </w:rPr>
        <w:t>IX. Accessories 11</w:t>
      </w:r>
      <w:r>
        <w:rPr>
          <w:rStyle w:val="8"/>
          <w:rFonts w:hint="default" w:ascii="Times New Roman" w:hAnsi="微软雅黑" w:eastAsia="微软雅黑" w:cs="微软雅黑"/>
          <w:szCs w:val="22"/>
          <w:lang w:val="en-US"/>
        </w:rPr>
        <w:tab/>
      </w:r>
      <w:r>
        <w:rPr>
          <w:rStyle w:val="8"/>
          <w:rFonts w:hint="default" w:ascii="Times New Roman" w:hAnsi="微软雅黑" w:eastAsia="微软雅黑" w:cs="微软雅黑"/>
          <w:szCs w:val="22"/>
          <w:lang w:val="en-US"/>
        </w:rPr>
        <w:t>15</w:t>
      </w:r>
      <w:r>
        <w:rPr>
          <w:rFonts w:hint="default" w:ascii="Times New Roman" w:hAnsi="微软雅黑" w:eastAsia="微软雅黑" w:cs="微软雅黑"/>
          <w:color w:val="000000"/>
          <w:szCs w:val="22"/>
          <w:lang w:val="en-US"/>
        </w:rPr>
        <w:fldChar w:fldCharType="end"/>
      </w:r>
    </w:p>
    <w:p w14:paraId="3740AA7D">
      <w:pPr>
        <w:pageBreakBefore w:val="0"/>
        <w:numPr>
          <w:ilvl w:val="0"/>
          <w:numId w:val="0"/>
        </w:numPr>
        <w:kinsoku/>
        <w:wordWrap/>
        <w:overflowPunct/>
        <w:topLinePunct w:val="0"/>
        <w:bidi w:val="0"/>
        <w:adjustRightInd w:val="0"/>
        <w:snapToGrid w:val="0"/>
        <w:spacing w:line="288" w:lineRule="auto"/>
        <w:ind w:leftChars="0"/>
        <w:jc w:val="both"/>
        <w:textAlignment w:val="center"/>
        <w:outlineLvl w:val="9"/>
        <w:rPr>
          <w:rFonts w:hint="eastAsia" w:ascii="微软雅黑" w:hAnsi="微软雅黑" w:eastAsia="微软雅黑" w:cs="微软雅黑"/>
          <w:b/>
          <w:bCs w:val="0"/>
          <w:color w:val="000000"/>
          <w:sz w:val="18"/>
          <w:szCs w:val="18"/>
        </w:rPr>
      </w:pPr>
      <w:r>
        <w:rPr>
          <w:rFonts w:hint="eastAsia" w:ascii="微软雅黑" w:hAnsi="微软雅黑" w:eastAsia="微软雅黑" w:cs="微软雅黑"/>
          <w:color w:val="000000"/>
          <w:szCs w:val="22"/>
        </w:rPr>
        <w:fldChar w:fldCharType="end"/>
      </w:r>
    </w:p>
    <w:p w14:paraId="670AECC6">
      <w:pPr>
        <w:pageBreakBefore w:val="0"/>
        <w:kinsoku/>
        <w:wordWrap/>
        <w:overflowPunct/>
        <w:topLinePunct w:val="0"/>
        <w:bidi w:val="0"/>
        <w:adjustRightInd w:val="0"/>
        <w:snapToGrid w:val="0"/>
        <w:spacing w:before="120" w:after="120" w:line="288" w:lineRule="auto"/>
        <w:jc w:val="center"/>
        <w:textAlignment w:val="center"/>
        <w:outlineLvl w:val="9"/>
        <w:rPr>
          <w:rFonts w:hint="default" w:ascii="微软雅黑" w:hAnsi="微软雅黑" w:eastAsia="微软雅黑" w:cs="微软雅黑"/>
          <w:b/>
          <w:bCs w:val="0"/>
          <w:color w:val="000000"/>
          <w:sz w:val="18"/>
          <w:szCs w:val="18"/>
          <w:lang w:val="en-US"/>
        </w:rPr>
      </w:pPr>
      <w:r>
        <w:rPr>
          <w:rFonts w:hint="default" w:ascii="Times New Roman" w:hAnsi="微软雅黑" w:eastAsia="微软雅黑" w:cs="微软雅黑"/>
          <w:b/>
          <w:bCs w:val="0"/>
          <w:color w:val="000000"/>
          <w:kern w:val="2"/>
          <w:sz w:val="28"/>
          <w:szCs w:val="28"/>
          <w:lang w:val="en-US" w:eastAsia="zh-CN" w:bidi="ar-SA"/>
        </w:rPr>
        <w:br w:type="page"/>
      </w:r>
      <w:r>
        <w:rPr>
          <w:rFonts w:hint="default" w:ascii="Times New Roman" w:hAnsi="微软雅黑" w:eastAsia="微软雅黑" w:cs="微软雅黑"/>
          <w:b/>
          <w:bCs w:val="0"/>
          <w:color w:val="000000"/>
          <w:kern w:val="2"/>
          <w:sz w:val="28"/>
          <w:szCs w:val="28"/>
          <w:lang w:val="en-US" w:eastAsia="zh-CN" w:bidi="ar-SA"/>
        </w:rPr>
        <w:t>Usage Instructions</w:t>
      </w:r>
    </w:p>
    <w:p w14:paraId="7D02A5E2">
      <w:pPr>
        <w:pageBreakBefore w:val="0"/>
        <w:kinsoku/>
        <w:wordWrap/>
        <w:overflowPunct/>
        <w:topLinePunct w:val="0"/>
        <w:bidi w:val="0"/>
        <w:adjustRightInd w:val="0"/>
        <w:snapToGrid w:val="0"/>
        <w:spacing w:line="288" w:lineRule="auto"/>
        <w:ind w:firstLine="360" w:firstLineChars="200"/>
        <w:textAlignment w:val="center"/>
        <w:outlineLvl w:val="9"/>
        <w:rPr>
          <w:rFonts w:hint="default" w:ascii="微软雅黑" w:hAnsi="微软雅黑" w:eastAsia="微软雅黑" w:cs="微软雅黑"/>
          <w:b/>
          <w:bCs/>
          <w:color w:val="000000"/>
          <w:sz w:val="18"/>
          <w:szCs w:val="18"/>
          <w:lang w:val="en-US"/>
        </w:rPr>
      </w:pPr>
      <w:r>
        <w:rPr>
          <w:rFonts w:hint="default" w:ascii="Times New Roman" w:hAnsi="微软雅黑" w:eastAsia="微软雅黑" w:cs="微软雅黑"/>
          <w:b/>
          <w:bCs/>
          <w:color w:val="000000"/>
          <w:kern w:val="2"/>
          <w:sz w:val="18"/>
          <w:szCs w:val="18"/>
          <w:lang w:val="en-US" w:eastAsia="zh-CN" w:bidi="ar-SA"/>
        </w:rPr>
        <w:t>Before using the detector, please read the following precautions.</w:t>
      </w:r>
    </w:p>
    <w:p w14:paraId="5A713014">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Before using the detector, inspect the housing for cracks or missing parts. If the detector is damaged or has missing parts, contact our company or dealer immediately.</w:t>
      </w:r>
    </w:p>
    <w:p w14:paraId="250F7402">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Self-replacing components may compromise the internal safety of the detector.</w:t>
      </w:r>
    </w:p>
    <w:p w14:paraId="3B979515">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Gas detectors must not be exposed to electric shock or severe continuous mechanical vibration environments.</w:t>
      </w:r>
    </w:p>
    <w:p w14:paraId="5E976B1E">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bookmarkStart w:id="2" w:name="OLE_LINK2"/>
      <w:bookmarkStart w:id="3" w:name="OLE_LINK3"/>
      <w:r>
        <w:rPr>
          <w:rFonts w:hint="default" w:ascii="Times New Roman" w:hAnsi="微软雅黑" w:eastAsia="微软雅黑" w:cs="微软雅黑"/>
          <w:color w:val="000000"/>
          <w:kern w:val="2"/>
          <w:sz w:val="18"/>
          <w:szCs w:val="18"/>
          <w:lang w:val="en-US" w:eastAsia="zh-CN" w:bidi="ar-SA"/>
        </w:rPr>
        <w:t>Discarded batteries and sensors should be disposed of by qualified recyclers or hazardous waste handlers, and must not be thrown into trash bins indiscriminately.</w:t>
      </w:r>
      <w:bookmarkEnd w:id="2"/>
      <w:bookmarkEnd w:id="3"/>
    </w:p>
    <w:p w14:paraId="433AC1E7">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Do not disassemble batteries or place them in fire, and avoid short circuits between the positive and negative terminals, as this may cause fires or explosions.</w:t>
      </w:r>
    </w:p>
    <w:p w14:paraId="4577E17D">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Do not disassemble, adjust, or repair this gas detector without authorization.</w:t>
      </w:r>
    </w:p>
    <w:p w14:paraId="30D6122D">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Do not splash water, chemical solvents, benzene, or gasoline onto the detector, and avoid inhalation of such substances, as this may cause malfunction of the detector.</w:t>
      </w:r>
    </w:p>
    <w:p w14:paraId="34E696A2">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Protect the device from falling from a height or experiencing severe vibrations.</w:t>
      </w:r>
    </w:p>
    <w:p w14:paraId="3CA04B15">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To ensure the measurement accuracy of the detector, regular calibration (at least annually) is required.</w:t>
      </w:r>
    </w:p>
    <w:p w14:paraId="48120EEC">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Artificial frequent exposure of the detector to high-concentration toxic gases should be avoided.</w:t>
      </w:r>
    </w:p>
    <w:p w14:paraId="16C742EF">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Continue use is prohibited when the sensor has failed or exceeded its service life.</w:t>
      </w:r>
    </w:p>
    <w:p w14:paraId="2D9436D9">
      <w:pPr>
        <w:pageBreakBefore w:val="0"/>
        <w:numPr>
          <w:ilvl w:val="0"/>
          <w:numId w:val="2"/>
        </w:numPr>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Before using this instrument, please carefully read the instruction manual and strictly follow the procedures outlined therein.</w:t>
      </w:r>
    </w:p>
    <w:p w14:paraId="70642B07">
      <w:pPr>
        <w:pageBreakBefore w:val="0"/>
        <w:numPr>
          <w:ilvl w:val="0"/>
          <w:numId w:val="2"/>
        </w:numPr>
        <w:tabs>
          <w:tab w:val="left" w:pos="540"/>
          <w:tab w:val="clear" w:pos="420"/>
        </w:tabs>
        <w:kinsoku/>
        <w:wordWrap/>
        <w:overflowPunct/>
        <w:topLinePunct w:val="0"/>
        <w:bidi w:val="0"/>
        <w:adjustRightInd w:val="0"/>
        <w:snapToGrid w:val="0"/>
        <w:spacing w:line="288" w:lineRule="auto"/>
        <w:ind w:left="420" w:leftChars="0" w:hanging="420" w:firstLineChars="0"/>
        <w:textAlignment w:val="center"/>
        <w:outlineLvl w:val="9"/>
        <w:rPr>
          <w:rFonts w:hint="eastAsia" w:ascii="微软雅黑" w:hAnsi="微软雅黑" w:eastAsia="微软雅黑" w:cs="微软雅黑"/>
          <w:color w:val="000000"/>
          <w:sz w:val="18"/>
          <w:szCs w:val="18"/>
        </w:rPr>
      </w:pPr>
      <w:r>
        <w:rPr>
          <w:rFonts w:hint="default" w:ascii="Times New Roman" w:hAnsi="微软雅黑" w:eastAsia="微软雅黑" w:cs="微软雅黑"/>
          <w:color w:val="000000"/>
          <w:kern w:val="2"/>
          <w:sz w:val="18"/>
          <w:szCs w:val="18"/>
          <w:lang w:val="en-US" w:eastAsia="zh-CN" w:bidi="ar-SA"/>
        </w:rPr>
        <w:t>For any applications beyond those described in this manual or for usage-related issues, please contact the distributor or manufacturer for assistance.</w:t>
      </w:r>
    </w:p>
    <w:p w14:paraId="252F8350">
      <w:pPr>
        <w:pageBreakBefore w:val="0"/>
        <w:tabs>
          <w:tab w:val="left" w:pos="540"/>
        </w:tabs>
        <w:kinsoku/>
        <w:wordWrap/>
        <w:overflowPunct/>
        <w:topLinePunct w:val="0"/>
        <w:bidi w:val="0"/>
        <w:adjustRightInd w:val="0"/>
        <w:snapToGrid w:val="0"/>
        <w:spacing w:line="288" w:lineRule="auto"/>
        <w:ind w:left="420"/>
        <w:textAlignment w:val="center"/>
        <w:outlineLvl w:val="9"/>
        <w:rPr>
          <w:rFonts w:hint="eastAsia" w:ascii="宋体" w:hAnsi="宋体"/>
          <w:color w:val="000000"/>
          <w:sz w:val="11"/>
          <w:szCs w:val="11"/>
        </w:rPr>
      </w:pPr>
    </w:p>
    <w:p w14:paraId="73B6FDFB">
      <w:pPr>
        <w:pageBreakBefore w:val="0"/>
        <w:tabs>
          <w:tab w:val="left" w:pos="540"/>
        </w:tabs>
        <w:kinsoku/>
        <w:wordWrap/>
        <w:overflowPunct/>
        <w:topLinePunct w:val="0"/>
        <w:bidi w:val="0"/>
        <w:adjustRightInd w:val="0"/>
        <w:snapToGrid w:val="0"/>
        <w:spacing w:line="288" w:lineRule="auto"/>
        <w:textAlignment w:val="center"/>
        <w:outlineLvl w:val="9"/>
        <w:rPr>
          <w:rFonts w:hint="eastAsia" w:ascii="微软雅黑" w:hAnsi="微软雅黑" w:eastAsia="微软雅黑" w:cs="微软雅黑"/>
          <w:b/>
          <w:color w:val="000000"/>
          <w:sz w:val="18"/>
          <w:szCs w:val="18"/>
        </w:rPr>
      </w:pPr>
    </w:p>
    <w:p w14:paraId="27B7490D">
      <w:pPr>
        <w:pageBreakBefore w:val="0"/>
        <w:tabs>
          <w:tab w:val="left" w:pos="540"/>
        </w:tabs>
        <w:kinsoku/>
        <w:wordWrap/>
        <w:overflowPunct/>
        <w:topLinePunct w:val="0"/>
        <w:bidi w:val="0"/>
        <w:adjustRightInd w:val="0"/>
        <w:snapToGrid w:val="0"/>
        <w:spacing w:line="288" w:lineRule="auto"/>
        <w:textAlignment w:val="center"/>
        <w:outlineLvl w:val="9"/>
        <w:rPr>
          <w:rFonts w:hint="eastAsia" w:ascii="微软雅黑" w:hAnsi="微软雅黑" w:eastAsia="微软雅黑" w:cs="微软雅黑"/>
          <w:b/>
          <w:color w:val="000000"/>
          <w:sz w:val="18"/>
          <w:szCs w:val="18"/>
        </w:rPr>
        <w:sectPr>
          <w:headerReference r:id="rId4" w:type="default"/>
          <w:footerReference r:id="rId5" w:type="default"/>
          <w:pgSz w:w="8392" w:h="11850" w:orient="landscape"/>
          <w:pgMar w:top="1020" w:right="1020" w:bottom="1020" w:left="1020" w:header="510" w:footer="510" w:gutter="0"/>
          <w:pgNumType w:start="1"/>
          <w:cols w:space="720" w:num="1"/>
          <w:docGrid w:type="lines" w:linePitch="316" w:charSpace="0"/>
        </w:sectPr>
      </w:pPr>
    </w:p>
    <w:p w14:paraId="4E50300A">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rPr>
      </w:pPr>
      <w:bookmarkStart w:id="4" w:name="_Toc30763"/>
      <w:bookmarkStart w:id="5" w:name="_Toc240700429"/>
      <w:r>
        <w:rPr>
          <w:rFonts w:hint="default" w:ascii="Times New Roman" w:hAnsi="微软雅黑" w:eastAsia="微软雅黑" w:cs="微软雅黑"/>
          <w:b/>
          <w:color w:val="000000"/>
          <w:kern w:val="2"/>
          <w:sz w:val="20"/>
          <w:szCs w:val="20"/>
          <w:lang w:val="en-US" w:eastAsia="zh-CN" w:bidi="ar-SA"/>
        </w:rPr>
        <w:t>I. Overview</w:t>
      </w:r>
      <w:bookmarkEnd w:id="4"/>
      <w:bookmarkEnd w:id="5"/>
    </w:p>
    <w:p w14:paraId="616197C7">
      <w:pPr>
        <w:pageBreakBefore w:val="0"/>
        <w:kinsoku/>
        <w:wordWrap/>
        <w:overflowPunct/>
        <w:topLinePunct w:val="0"/>
        <w:bidi w:val="0"/>
        <w:adjustRightInd w:val="0"/>
        <w:snapToGrid w:val="0"/>
        <w:spacing w:line="288" w:lineRule="auto"/>
        <w:ind w:firstLine="360" w:firstLineChars="200"/>
        <w:textAlignment w:val="center"/>
        <w:outlineLvl w:val="9"/>
        <w:rPr>
          <w:rFonts w:hint="eastAsia" w:ascii="微软雅黑" w:hAnsi="微软雅黑" w:eastAsia="微软雅黑" w:cs="微软雅黑"/>
          <w:sz w:val="18"/>
          <w:szCs w:val="18"/>
          <w:lang w:val="en-US" w:eastAsia="zh-CN"/>
        </w:rPr>
      </w:pPr>
      <w:r>
        <w:rPr>
          <w:rFonts w:hint="default" w:ascii="Times New Roman" w:hAnsi="微软雅黑" w:eastAsia="微软雅黑" w:cs="微软雅黑"/>
          <w:kern w:val="2"/>
          <w:sz w:val="18"/>
          <w:szCs w:val="18"/>
          <w:lang w:val="en-US" w:eastAsia="zh-CN" w:bidi="ar-SA"/>
        </w:rPr>
        <w:t>The OT135 Portable Pump-Suction Gas Detector is an intrinsically safe instrument capable of continuous monitoring of multiple gas concentrations. It supports up to 7 configurable gas detection modes with flexible combination options tailored to operational needs. Designed for explosion-proof environments, this device proves essential for gas leak emergency response in underground pipelines and similar hazardous settings, effectively safeguarding personnel lives while preventing equipment damage.</w:t>
      </w:r>
    </w:p>
    <w:p w14:paraId="108FA521">
      <w:pPr>
        <w:pageBreakBefore w:val="0"/>
        <w:kinsoku/>
        <w:wordWrap/>
        <w:overflowPunct/>
        <w:topLinePunct w:val="0"/>
        <w:bidi w:val="0"/>
        <w:adjustRightInd w:val="0"/>
        <w:snapToGrid w:val="0"/>
        <w:spacing w:line="288" w:lineRule="auto"/>
        <w:ind w:firstLine="360" w:firstLineChars="200"/>
        <w:textAlignment w:val="center"/>
        <w:outlineLvl w:val="9"/>
        <w:rPr>
          <w:rFonts w:hint="eastAsia" w:ascii="微软雅黑" w:hAnsi="微软雅黑" w:eastAsia="微软雅黑" w:cs="微软雅黑"/>
          <w:b/>
          <w:bCs/>
          <w:color w:val="000000"/>
          <w:sz w:val="18"/>
          <w:szCs w:val="18"/>
          <w:lang w:eastAsia="zh-CN"/>
        </w:rPr>
      </w:pPr>
      <w:r>
        <w:rPr>
          <w:rFonts w:hint="default" w:ascii="Times New Roman" w:hAnsi="微软雅黑" w:eastAsia="微软雅黑" w:cs="微软雅黑"/>
          <w:kern w:val="2"/>
          <w:sz w:val="18"/>
          <w:szCs w:val="18"/>
          <w:lang w:val="en-US" w:eastAsia="zh-CN" w:bidi="ar-SA"/>
        </w:rPr>
        <w:t>The instrument employs a pump suction detection principle, with sensors utilizing imported components that exhibit excellent sensitivity and outstanding repeatability. It features embedded microcomputer control for simplified operation. The detector housing is constructed from high-strength engineering plastic combined with anti-slip rubber, ensuring high durability, comfortable handling, as well as water resistance, dust resistance, and explosion-proof properties.</w:t>
      </w:r>
    </w:p>
    <w:p w14:paraId="2675D22F">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b w:val="0"/>
          <w:bCs/>
          <w:color w:val="000000"/>
          <w:sz w:val="20"/>
          <w:szCs w:val="20"/>
          <w:lang w:val="en-US"/>
        </w:rPr>
      </w:pPr>
      <w:r>
        <w:rPr>
          <w:rFonts w:hint="default" w:ascii="Times New Roman" w:hAnsi="微软雅黑" w:eastAsia="微软雅黑" w:cs="微软雅黑"/>
          <w:b/>
          <w:bCs w:val="0"/>
          <w:color w:val="000000"/>
          <w:kern w:val="2"/>
          <w:sz w:val="20"/>
          <w:szCs w:val="20"/>
          <w:lang w:val="en-US" w:eastAsia="zh-CN" w:bidi="ar-SA"/>
        </w:rPr>
        <w:t>1.1 The design, manufacture, and verification of this product comply with the following national standards</w:t>
      </w:r>
    </w:p>
    <w:p w14:paraId="25D748A9">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GB/T 3836.1—2021 Explosive Atmospheres Part 1: Equipment General Requirements</w:t>
      </w:r>
    </w:p>
    <w:p w14:paraId="4042EC3F">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GB/T 3836.4—2021 Explosive Atmospheres Part 4: Equipment Protected by Intrinsically Safe Type 'i' Protection</w:t>
      </w:r>
    </w:p>
    <w:p w14:paraId="38CEF0A2">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GB 12358—2024 Environmental Gas Detection and Alarm Instruments for Workplace-General Technical Requirements</w:t>
      </w:r>
    </w:p>
    <w:p w14:paraId="2FF515D4">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highlight w:val="green"/>
          <w:lang w:val="en-US"/>
        </w:rPr>
      </w:pPr>
      <w:r>
        <w:rPr>
          <w:rFonts w:hint="default" w:ascii="Times New Roman" w:hAnsi="微软雅黑" w:eastAsia="微软雅黑" w:cs="微软雅黑"/>
          <w:color w:val="000000"/>
          <w:kern w:val="2"/>
          <w:sz w:val="18"/>
          <w:szCs w:val="18"/>
          <w:highlight w:val="green"/>
          <w:lang w:val="en-US" w:eastAsia="zh-CN" w:bidi="ar-SA"/>
        </w:rPr>
        <w:t>GB/T 4208—2017 Enclosure Protection Rating (IP Code)</w:t>
      </w:r>
    </w:p>
    <w:p w14:paraId="170B8229">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highlight w:val="green"/>
          <w:lang w:val="en-US"/>
        </w:rPr>
      </w:pPr>
      <w:r>
        <w:rPr>
          <w:rFonts w:hint="default" w:ascii="Times New Roman" w:hAnsi="微软雅黑" w:eastAsia="微软雅黑" w:cs="微软雅黑"/>
          <w:color w:val="000000"/>
          <w:kern w:val="2"/>
          <w:sz w:val="18"/>
          <w:szCs w:val="18"/>
          <w:highlight w:val="green"/>
          <w:lang w:val="en-US" w:eastAsia="zh-CN" w:bidi="ar-SA"/>
        </w:rPr>
        <w:t>JJG 693—2011 Flammable Gas Detector and Alarm Device</w:t>
      </w:r>
    </w:p>
    <w:p w14:paraId="158E13A7">
      <w:pPr>
        <w:pageBreakBefore w:val="0"/>
        <w:kinsoku/>
        <w:wordWrap/>
        <w:overflowPunct/>
        <w:topLinePunct w:val="0"/>
        <w:bidi w:val="0"/>
        <w:snapToGrid w:val="0"/>
        <w:spacing w:line="336" w:lineRule="auto"/>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JJG 915—2008 Carbon Monoxide Detection and Alarm Device</w:t>
      </w:r>
    </w:p>
    <w:p w14:paraId="16491140">
      <w:pPr>
        <w:pageBreakBefore w:val="0"/>
        <w:numPr>
          <w:ilvl w:val="0"/>
          <w:numId w:val="0"/>
        </w:numPr>
        <w:kinsoku/>
        <w:wordWrap/>
        <w:overflowPunct/>
        <w:topLinePunct w:val="0"/>
        <w:bidi w:val="0"/>
        <w:snapToGrid w:val="0"/>
        <w:spacing w:line="300" w:lineRule="auto"/>
        <w:ind w:leftChars="0"/>
        <w:textAlignment w:val="center"/>
        <w:outlineLvl w:val="9"/>
        <w:rPr>
          <w:rFonts w:hint="default" w:ascii="微软雅黑" w:hAnsi="微软雅黑" w:eastAsia="微软雅黑" w:cs="微软雅黑"/>
          <w:b/>
          <w:sz w:val="20"/>
          <w:szCs w:val="20"/>
          <w:lang w:val="en-US"/>
        </w:rPr>
      </w:pPr>
      <w:bookmarkStart w:id="6" w:name="_Toc240700430"/>
      <w:r>
        <w:rPr>
          <w:rFonts w:hint="default" w:ascii="Times New Roman" w:hAnsi="微软雅黑" w:eastAsia="微软雅黑" w:cs="微软雅黑"/>
          <w:b/>
          <w:kern w:val="2"/>
          <w:sz w:val="20"/>
          <w:szCs w:val="20"/>
          <w:lang w:val="en-US" w:eastAsia="zh-CN" w:bidi="ar-SA"/>
        </w:rPr>
        <w:t>1.2 Main Functions and Features of the Product</w:t>
      </w:r>
      <w:bookmarkEnd w:id="6"/>
    </w:p>
    <w:p w14:paraId="07517DE4">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Equipped with a 2.4-inch high-definition full-color IPS industrial display with wide viewing angle</w:t>
      </w:r>
    </w:p>
    <w:p w14:paraId="05B5D8A5">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Display various technical indicators and gas concentration values</w:t>
      </w:r>
    </w:p>
    <w:p w14:paraId="5AC984A7">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High-performance imported sensor</w:t>
      </w:r>
    </w:p>
    <w:p w14:paraId="4FDD9B49">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Capable of simultaneously detecting 1-4 gases with flexible sensor combinations</w:t>
      </w:r>
    </w:p>
    <w:p w14:paraId="09D6CD2C">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Features data storage capability, supporting up to 1,000 data entries</w:t>
      </w:r>
    </w:p>
    <w:p w14:paraId="4FDBDD02">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Dustproof, explosion-proof, and waterproof design</w:t>
      </w:r>
    </w:p>
    <w:p w14:paraId="60BCA523">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Intrinsically safe circuit design, anti-static and electromagnetic interference protection</w:t>
      </w:r>
    </w:p>
    <w:p w14:paraId="3EAA7CDB">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Optional sampling probe rod and its catheter</w:t>
      </w:r>
    </w:p>
    <w:p w14:paraId="476EC393">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Built-in high-power carbon membrane self-priming pump with extremely fast response time</w:t>
      </w:r>
    </w:p>
    <w:p w14:paraId="7A0BFBB0">
      <w:pPr>
        <w:pageBreakBefore w:val="0"/>
        <w:numPr>
          <w:ilvl w:val="0"/>
          <w:numId w:val="0"/>
        </w:numPr>
        <w:kinsoku/>
        <w:wordWrap/>
        <w:overflowPunct/>
        <w:topLinePunct w:val="0"/>
        <w:bidi w:val="0"/>
        <w:snapToGrid w:val="0"/>
        <w:spacing w:line="300" w:lineRule="auto"/>
        <w:ind w:left="190" w:leftChars="0"/>
        <w:textAlignment w:val="center"/>
        <w:outlineLvl w:val="9"/>
        <w:rPr>
          <w:rFonts w:hint="default" w:ascii="微软雅黑" w:hAnsi="微软雅黑" w:eastAsia="微软雅黑" w:cs="微软雅黑"/>
          <w:sz w:val="19"/>
          <w:szCs w:val="19"/>
          <w:lang w:val="en-US" w:eastAsia="zh-CN"/>
        </w:rPr>
      </w:pPr>
      <w:r>
        <w:rPr>
          <w:rFonts w:hint="default" w:ascii="Times New Roman" w:hAnsi="微软雅黑" w:eastAsia="微软雅黑" w:cs="微软雅黑"/>
          <w:kern w:val="2"/>
          <w:sz w:val="19"/>
          <w:szCs w:val="19"/>
          <w:lang w:val="en-US" w:eastAsia="zh-CN" w:bidi="ar-SA"/>
        </w:rPr>
        <w:t>◆ Adjustable settings for time and alarm functions</w:t>
      </w:r>
    </w:p>
    <w:p w14:paraId="64B5E6EF">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eastAsia="zh-CN"/>
        </w:rPr>
      </w:pPr>
      <w:bookmarkStart w:id="7" w:name="_Toc18017"/>
      <w:r>
        <w:rPr>
          <w:rFonts w:hint="default" w:ascii="Times New Roman" w:hAnsi="微软雅黑" w:eastAsia="微软雅黑" w:cs="微软雅黑"/>
          <w:b/>
          <w:color w:val="000000"/>
          <w:kern w:val="2"/>
          <w:sz w:val="20"/>
          <w:szCs w:val="20"/>
          <w:lang w:val="en-US" w:eastAsia="zh-CN" w:bidi="ar-SA"/>
        </w:rPr>
        <w:t>II. Main Technical Specifications</w:t>
      </w:r>
      <w:bookmarkEnd w:id="7"/>
    </w:p>
    <w:p w14:paraId="5FB568DF">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Suitable gases: combustible/toxic/hazardous gases/oxygen, etc.</w:t>
      </w:r>
    </w:p>
    <w:p w14:paraId="5FD7BF4B">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Detection principles: catalytic combustion type, electrochemical type, infrared type, laser type, semiconductor type, etc.</w:t>
      </w:r>
    </w:p>
    <w:p w14:paraId="48493E5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Detection method: Built-in pump suction type</w:t>
      </w:r>
    </w:p>
    <w:p w14:paraId="17B2051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highlight w:val="yellow"/>
        </w:rPr>
      </w:pPr>
      <w:r>
        <w:rPr>
          <w:rFonts w:hint="default" w:ascii="Times New Roman" w:hAnsi="微软雅黑" w:eastAsia="微软雅黑" w:cs="微软雅黑"/>
          <w:kern w:val="2"/>
          <w:sz w:val="18"/>
          <w:szCs w:val="18"/>
          <w:highlight w:val="yellow"/>
          <w:lang w:val="en-US" w:eastAsia="zh-CN" w:bidi="ar-SA"/>
        </w:rPr>
        <w:t>Measurement range: (0–100)%LEL (flammable); (0–100)µmol/mol (toxic), etc. (depending on gas type)</w:t>
      </w:r>
    </w:p>
    <w:p w14:paraId="20E7B3E6">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highlight w:val="yellow"/>
        </w:rPr>
      </w:pPr>
      <w:r>
        <w:rPr>
          <w:rFonts w:hint="default" w:ascii="Times New Roman" w:hAnsi="微软雅黑" w:eastAsia="微软雅黑" w:cs="微软雅黑"/>
          <w:kern w:val="2"/>
          <w:sz w:val="18"/>
          <w:szCs w:val="18"/>
          <w:highlight w:val="yellow"/>
          <w:lang w:val="en-US" w:eastAsia="zh-CN" w:bidi="ar-SA"/>
        </w:rPr>
        <w:t>Resolution: 1% LEL, 1 µmol/mol, 0.1 µmol/mol/%VOL</w:t>
      </w:r>
    </w:p>
    <w:p w14:paraId="1B210FA1">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highlight w:val="yellow"/>
        </w:rPr>
      </w:pPr>
      <w:r>
        <w:rPr>
          <w:rFonts w:hint="default" w:ascii="Times New Roman" w:hAnsi="微软雅黑" w:eastAsia="微软雅黑" w:cs="微软雅黑"/>
          <w:kern w:val="2"/>
          <w:sz w:val="18"/>
          <w:szCs w:val="18"/>
          <w:highlight w:val="yellow"/>
          <w:lang w:val="en-US" w:eastAsia="zh-CN" w:bidi="ar-SA"/>
        </w:rPr>
        <w:t>Accuracy grade: ±3%FS (flammable/oxygen); ±5%FS (toxic)</w:t>
      </w:r>
    </w:p>
    <w:p w14:paraId="612BAEDB">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Lower limit alarm setting: 20% LEL (flammable)</w:t>
      </w:r>
    </w:p>
    <w:p w14:paraId="039AF3B4">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Upper limit alarm setpoint: 50% LEL (flammable)</w:t>
      </w:r>
    </w:p>
    <w:p w14:paraId="717B303A">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Display mode: LCD</w:t>
      </w:r>
    </w:p>
    <w:p w14:paraId="5D77DD9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Response time: ≤30s</w:t>
      </w:r>
    </w:p>
    <w:p w14:paraId="128A17BC">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Environmental temperature: -25°C to +55°C</w:t>
      </w:r>
    </w:p>
    <w:p w14:paraId="2EB265B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Relative humidity: (20～93)%</w:t>
      </w:r>
    </w:p>
    <w:p w14:paraId="6315BB1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Power supply voltage: DC 3.7 V</w:t>
      </w:r>
    </w:p>
    <w:p w14:paraId="37D87DE0">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Battery capacity: 1800 mAh + 1300 mAh lithium-ion rechargeable battery</w:t>
      </w:r>
    </w:p>
    <w:p w14:paraId="0276ECDD">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Charging time: &lt;5 h</w:t>
      </w:r>
    </w:p>
    <w:p w14:paraId="1A8BAB5C">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Standby time: ≥8 h</w:t>
      </w:r>
    </w:p>
    <w:p w14:paraId="2A8AF0C8">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Pressure limit: 86 kPa to 106 kPa</w:t>
      </w:r>
    </w:p>
    <w:p w14:paraId="487D3A48">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Product dimensions: L 164 mm × W 78 mm × H 50 mm</w:t>
      </w:r>
    </w:p>
    <w:p w14:paraId="5863C92C">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Product weight: approximately 400 g</w:t>
      </w:r>
    </w:p>
    <w:p w14:paraId="33E69B8D">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Standard hose: 60 cm</w:t>
      </w:r>
    </w:p>
    <w:p w14:paraId="059CBB62">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Explosion-proof certificate number: CLEx24.1024</w:t>
      </w:r>
    </w:p>
    <w:p w14:paraId="7DB4E98D">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Explosion-proof rating: Ex ia ⅡC T4 Ga; Ex ib ⅢC T130℃ Db</w:t>
      </w:r>
    </w:p>
    <w:p w14:paraId="0F25AFBF">
      <w:pPr>
        <w:pageBreakBefore w:val="0"/>
        <w:numPr>
          <w:ilvl w:val="0"/>
          <w:numId w:val="3"/>
        </w:numPr>
        <w:kinsoku/>
        <w:wordWrap/>
        <w:overflowPunct/>
        <w:topLinePunct w:val="0"/>
        <w:bidi w:val="0"/>
        <w:ind w:left="420" w:leftChars="0" w:hanging="420" w:firstLineChars="0"/>
        <w:textAlignment w:val="center"/>
        <w:outlineLvl w:val="9"/>
        <w:rPr>
          <w:rFonts w:hint="eastAsia" w:ascii="微软雅黑" w:hAnsi="微软雅黑" w:eastAsia="微软雅黑" w:cs="微软雅黑"/>
          <w:sz w:val="18"/>
          <w:szCs w:val="18"/>
        </w:rPr>
      </w:pPr>
      <w:r>
        <w:rPr>
          <w:rFonts w:hint="default" w:ascii="Times New Roman" w:hAnsi="微软雅黑" w:eastAsia="微软雅黑" w:cs="微软雅黑"/>
          <w:kern w:val="2"/>
          <w:sz w:val="18"/>
          <w:szCs w:val="18"/>
          <w:lang w:val="en-US" w:eastAsia="zh-CN" w:bidi="ar-SA"/>
        </w:rPr>
        <w:t>Protection rating: IP65</w:t>
      </w:r>
    </w:p>
    <w:p w14:paraId="4FE4C46D">
      <w:pPr>
        <w:pageBreakBefore w:val="0"/>
        <w:numPr>
          <w:ilvl w:val="0"/>
          <w:numId w:val="3"/>
        </w:numPr>
        <w:kinsoku/>
        <w:wordWrap/>
        <w:overflowPunct/>
        <w:topLinePunct w:val="0"/>
        <w:bidi w:val="0"/>
        <w:ind w:left="420" w:leftChars="0" w:hanging="420" w:firstLineChars="0"/>
        <w:textAlignment w:val="center"/>
        <w:outlineLvl w:val="9"/>
        <w:rPr>
          <w:rFonts w:hint="default" w:ascii="微软雅黑" w:hAnsi="微软雅黑" w:eastAsia="微软雅黑" w:cs="微软雅黑"/>
          <w:sz w:val="18"/>
          <w:szCs w:val="18"/>
          <w:lang w:val="en-US" w:eastAsia="zh-CN"/>
        </w:rPr>
      </w:pPr>
      <w:r>
        <w:rPr>
          <w:rFonts w:hint="default" w:ascii="Times New Roman" w:hAnsi="微软雅黑" w:eastAsia="微软雅黑" w:cs="微软雅黑"/>
          <w:kern w:val="2"/>
          <w:sz w:val="18"/>
          <w:szCs w:val="18"/>
          <w:lang w:val="en-US" w:eastAsia="zh-CN" w:bidi="ar-SA"/>
        </w:rPr>
        <w:t xml:space="preserve">Mark and number of type approval certificate </w:t>
      </w:r>
      <w:r>
        <w:rPr>
          <w:rFonts w:hint="default" w:ascii="微软雅黑" w:hAnsi="微软雅黑" w:eastAsia="微软雅黑" w:cs="微软雅黑"/>
          <w:sz w:val="18"/>
          <w:szCs w:val="18"/>
          <w:lang w:val="en-US" w:eastAsia="zh-CN"/>
        </w:rPr>
        <w:drawing>
          <wp:inline distT="0" distB="0" distL="114300" distR="114300">
            <wp:extent cx="765175" cy="439420"/>
            <wp:effectExtent l="0" t="0" r="22225" b="17780"/>
            <wp:docPr id="4" name="图片 4" descr="OT135（CH4、CO）--CPA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OT135（CH4、CO）--CPA标志"/>
                    <pic:cNvPicPr>
                      <a:picLocks noChangeAspect="1"/>
                    </pic:cNvPicPr>
                  </pic:nvPicPr>
                  <pic:blipFill>
                    <a:blip r:embed="rId12"/>
                    <a:stretch>
                      <a:fillRect/>
                    </a:stretch>
                  </pic:blipFill>
                  <pic:spPr>
                    <a:xfrm>
                      <a:off x="0" y="0"/>
                      <a:ext cx="765175" cy="439420"/>
                    </a:xfrm>
                    <a:prstGeom prst="rect">
                      <a:avLst/>
                    </a:prstGeom>
                    <a:noFill/>
                    <a:ln>
                      <a:noFill/>
                    </a:ln>
                  </pic:spPr>
                </pic:pic>
              </a:graphicData>
            </a:graphic>
          </wp:inline>
        </w:drawing>
      </w:r>
      <w:r>
        <w:rPr>
          <w:rFonts w:hint="default" w:ascii="Times New Roman" w:hAnsi="微软雅黑" w:eastAsia="微软雅黑" w:cs="微软雅黑"/>
          <w:kern w:val="2"/>
          <w:sz w:val="18"/>
          <w:szCs w:val="18"/>
          <w:lang w:val="en-US" w:eastAsia="zh-CN" w:bidi="ar-SA"/>
        </w:rPr>
        <w:t>for measuring instruments: (CH4, CO)</w:t>
      </w:r>
    </w:p>
    <w:p w14:paraId="4C2277C2">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eastAsia="zh-CN"/>
        </w:rPr>
      </w:pPr>
      <w:bookmarkStart w:id="8" w:name="_Toc240700433"/>
      <w:bookmarkStart w:id="9" w:name="_Toc3422"/>
      <w:r>
        <w:rPr>
          <w:rFonts w:hint="default" w:ascii="Times New Roman" w:hAnsi="微软雅黑" w:eastAsia="微软雅黑" w:cs="微软雅黑"/>
          <w:b/>
          <w:color w:val="000000"/>
          <w:kern w:val="2"/>
          <w:sz w:val="20"/>
          <w:szCs w:val="20"/>
          <w:lang w:val="en-US" w:eastAsia="zh-CN" w:bidi="ar-SA"/>
        </w:rPr>
        <w:t>III. Product Appearance, Functionality, and Indications</w:t>
      </w:r>
      <w:bookmarkEnd w:id="8"/>
      <w:bookmarkEnd w:id="9"/>
    </w:p>
    <w:p w14:paraId="7DEFFD1C">
      <w:pPr>
        <w:pageBreakBefore w:val="0"/>
        <w:numPr>
          <w:ilvl w:val="0"/>
          <w:numId w:val="0"/>
        </w:numPr>
        <w:kinsoku/>
        <w:wordWrap/>
        <w:overflowPunct/>
        <w:topLinePunct w:val="0"/>
        <w:bidi w:val="0"/>
        <w:snapToGrid w:val="0"/>
        <w:spacing w:line="300" w:lineRule="auto"/>
        <w:ind w:left="95" w:leftChars="0"/>
        <w:jc w:val="center"/>
        <w:textAlignment w:val="center"/>
        <w:outlineLvl w:val="9"/>
      </w:pPr>
      <w:r>
        <w:drawing>
          <wp:inline distT="0" distB="0" distL="114300" distR="114300">
            <wp:extent cx="3128010" cy="1679575"/>
            <wp:effectExtent l="0" t="0" r="15240" b="15875"/>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13"/>
                    <a:stretch>
                      <a:fillRect/>
                    </a:stretch>
                  </pic:blipFill>
                  <pic:spPr>
                    <a:xfrm>
                      <a:off x="0" y="0"/>
                      <a:ext cx="3128010" cy="1679575"/>
                    </a:xfrm>
                    <a:prstGeom prst="rect">
                      <a:avLst/>
                    </a:prstGeom>
                    <a:noFill/>
                    <a:ln>
                      <a:noFill/>
                    </a:ln>
                  </pic:spPr>
                </pic:pic>
              </a:graphicData>
            </a:graphic>
          </wp:inline>
        </w:drawing>
      </w:r>
    </w:p>
    <w:p w14:paraId="4B64E525">
      <w:pPr>
        <w:pageBreakBefore w:val="0"/>
        <w:numPr>
          <w:ilvl w:val="0"/>
          <w:numId w:val="0"/>
        </w:numPr>
        <w:kinsoku/>
        <w:wordWrap/>
        <w:overflowPunct/>
        <w:topLinePunct w:val="0"/>
        <w:bidi w:val="0"/>
        <w:snapToGrid w:val="0"/>
        <w:spacing w:line="300" w:lineRule="auto"/>
        <w:ind w:left="95" w:leftChars="0"/>
        <w:jc w:val="center"/>
        <w:textAlignment w:val="center"/>
        <w:outlineLvl w:val="9"/>
        <w:rPr>
          <w:rFonts w:hint="default"/>
          <w:lang w:val="en-US" w:eastAsia="zh-CN"/>
        </w:rPr>
      </w:pPr>
      <w:bookmarkStart w:id="10" w:name="_Toc240700432"/>
      <w:r>
        <w:rPr>
          <w:rFonts w:hint="default" w:ascii="Times New Roman" w:hAnsi="Times New Roman" w:eastAsia="宋体" w:cs="Times New Roman"/>
          <w:kern w:val="2"/>
          <w:sz w:val="21"/>
          <w:szCs w:val="24"/>
          <w:lang w:val="en-US" w:eastAsia="zh-CN" w:bidi="ar-SA"/>
        </w:rPr>
        <w:t>Product display interface description</w:t>
      </w:r>
      <w:bookmarkEnd w:id="10"/>
    </w:p>
    <w:p w14:paraId="66F8872F">
      <w:pPr>
        <w:pageBreakBefore w:val="0"/>
        <w:numPr>
          <w:ilvl w:val="0"/>
          <w:numId w:val="0"/>
        </w:numPr>
        <w:kinsoku/>
        <w:wordWrap/>
        <w:overflowPunct/>
        <w:topLinePunct w:val="0"/>
        <w:bidi w:val="0"/>
        <w:snapToGrid w:val="0"/>
        <w:spacing w:line="300" w:lineRule="auto"/>
        <w:ind w:left="95" w:leftChars="0"/>
        <w:jc w:val="center"/>
        <w:textAlignment w:val="center"/>
        <w:outlineLvl w:val="9"/>
      </w:pPr>
      <w:r>
        <w:drawing>
          <wp:inline distT="0" distB="0" distL="114300" distR="114300">
            <wp:extent cx="2544445" cy="2573655"/>
            <wp:effectExtent l="0" t="0" r="8255" b="17145"/>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r:embed="rId14"/>
                    <a:stretch>
                      <a:fillRect/>
                    </a:stretch>
                  </pic:blipFill>
                  <pic:spPr>
                    <a:xfrm>
                      <a:off x="0" y="0"/>
                      <a:ext cx="2544445" cy="2573655"/>
                    </a:xfrm>
                    <a:prstGeom prst="rect">
                      <a:avLst/>
                    </a:prstGeom>
                    <a:noFill/>
                    <a:ln>
                      <a:noFill/>
                    </a:ln>
                  </pic:spPr>
                </pic:pic>
              </a:graphicData>
            </a:graphic>
          </wp:inline>
        </w:drawing>
      </w:r>
    </w:p>
    <w:p w14:paraId="070A9B4B">
      <w:pPr>
        <w:pageBreakBefore w:val="0"/>
        <w:numPr>
          <w:ilvl w:val="0"/>
          <w:numId w:val="0"/>
        </w:numPr>
        <w:kinsoku/>
        <w:wordWrap/>
        <w:overflowPunct/>
        <w:topLinePunct w:val="0"/>
        <w:bidi w:val="0"/>
        <w:snapToGrid w:val="0"/>
        <w:spacing w:line="300" w:lineRule="auto"/>
        <w:ind w:left="95" w:leftChars="0"/>
        <w:jc w:val="center"/>
        <w:textAlignment w:val="center"/>
        <w:outlineLvl w:val="9"/>
        <w:rPr>
          <w:rFonts w:hint="default"/>
          <w:lang w:val="en-US"/>
        </w:rPr>
      </w:pPr>
      <w:r>
        <w:rPr>
          <w:rFonts w:hint="default" w:ascii="Times New Roman" w:hAnsi="微软雅黑" w:eastAsia="微软雅黑" w:cs="微软雅黑"/>
          <w:kern w:val="2"/>
          <w:sz w:val="19"/>
          <w:szCs w:val="19"/>
          <w:lang w:val="en-US" w:eastAsia="zh-CN" w:bidi="ar-SA"/>
        </w:rPr>
        <w:t>Product overall structure diagram</w:t>
      </w:r>
    </w:p>
    <w:p w14:paraId="7B6523E1">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eastAsia="zh-CN"/>
        </w:rPr>
      </w:pPr>
      <w:bookmarkStart w:id="11" w:name="_Toc21814"/>
      <w:r>
        <w:rPr>
          <w:rFonts w:hint="default" w:ascii="Times New Roman" w:hAnsi="微软雅黑" w:eastAsia="微软雅黑" w:cs="微软雅黑"/>
          <w:b/>
          <w:color w:val="000000"/>
          <w:kern w:val="2"/>
          <w:sz w:val="20"/>
          <w:szCs w:val="20"/>
          <w:lang w:val="en-US" w:eastAsia="zh-CN" w:bidi="ar-SA"/>
        </w:rPr>
        <w:t>IV. Product Operation Instructions</w:t>
      </w:r>
      <w:bookmarkEnd w:id="11"/>
    </w:p>
    <w:p w14:paraId="1A30606C">
      <w:pPr>
        <w:pStyle w:val="5"/>
        <w:pageBreakBefore w:val="0"/>
        <w:kinsoku/>
        <w:wordWrap/>
        <w:overflowPunct/>
        <w:topLinePunct w:val="0"/>
        <w:bidi w:val="0"/>
        <w:jc w:val="both"/>
        <w:textAlignment w:val="center"/>
        <w:outlineLvl w:val="9"/>
        <w:rPr>
          <w:rFonts w:hint="default" w:ascii="微软雅黑" w:hAnsi="微软雅黑" w:eastAsia="微软雅黑" w:cs="微软雅黑"/>
          <w:b/>
          <w:bCs/>
          <w:color w:val="000000"/>
          <w:sz w:val="20"/>
          <w:szCs w:val="20"/>
          <w:lang w:val="en-US"/>
        </w:rPr>
      </w:pPr>
      <w:r>
        <w:rPr>
          <w:rFonts w:hint="default" w:ascii="Times New Roman" w:hAnsi="微软雅黑" w:eastAsia="微软雅黑" w:cs="微软雅黑"/>
          <w:b/>
          <w:bCs/>
          <w:color w:val="000000"/>
          <w:kern w:val="2"/>
          <w:sz w:val="20"/>
          <w:szCs w:val="20"/>
          <w:lang w:val="en-US" w:eastAsia="zh-CN" w:bidi="ar-SA"/>
        </w:rPr>
        <w:t>4.1 Product Startup Instructions</w:t>
      </w:r>
    </w:p>
    <w:p w14:paraId="217F08BA">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 xml:space="preserve">When the device is powered </w:t>
      </w:r>
      <w:r>
        <w:rPr>
          <w:rFonts w:hint="eastAsia" w:ascii="微软雅黑" w:hAnsi="微软雅黑" w:eastAsia="微软雅黑" w:cs="微软雅黑"/>
          <w:color w:val="auto"/>
          <w:sz w:val="13"/>
          <w:szCs w:val="13"/>
        </w:rPr>
        <w:drawing>
          <wp:inline distT="0" distB="0" distL="114300" distR="114300">
            <wp:extent cx="178435" cy="178435"/>
            <wp:effectExtent l="0" t="0" r="24765" b="24765"/>
            <wp:docPr id="6" name="图片 20" descr="开机键"/>
            <wp:cNvGraphicFramePr/>
            <a:graphic xmlns:a="http://schemas.openxmlformats.org/drawingml/2006/main">
              <a:graphicData uri="http://schemas.openxmlformats.org/drawingml/2006/picture">
                <pic:pic xmlns:pic="http://schemas.openxmlformats.org/drawingml/2006/picture">
                  <pic:nvPicPr>
                    <pic:cNvPr id="6" name="图片 20" descr="开机键"/>
                    <pic:cNvPicPr preferRelativeResize="0"/>
                  </pic:nvPicPr>
                  <pic:blipFill>
                    <a:blip r:embed="rId15"/>
                    <a:stretch>
                      <a:fillRect/>
                    </a:stretch>
                  </pic:blipFill>
                  <pic:spPr>
                    <a:xfrm>
                      <a:off x="0" y="0"/>
                      <a:ext cx="178435" cy="178435"/>
                    </a:xfrm>
                    <a:prstGeom prst="rect">
                      <a:avLst/>
                    </a:prstGeom>
                    <a:noFill/>
                    <a:ln>
                      <a:noFill/>
                    </a:ln>
                  </pic:spPr>
                </pic:pic>
              </a:graphicData>
            </a:graphic>
          </wp:inline>
        </w:drawing>
      </w:r>
      <w:r>
        <w:rPr>
          <w:rFonts w:hint="default" w:ascii="Times New Roman" w:hAnsi="微软雅黑" w:eastAsia="微软雅黑" w:cs="微软雅黑"/>
          <w:color w:val="000000"/>
          <w:kern w:val="2"/>
          <w:sz w:val="19"/>
          <w:szCs w:val="19"/>
          <w:lang w:val="en-US" w:eastAsia="zh-CN" w:bidi="ar-SA"/>
        </w:rPr>
        <w:t>off, pressing the button for more than 2 seconds activates the detector. The system then automatically executes the following self-check procedure:</w:t>
      </w:r>
    </w:p>
    <w:p w14:paraId="63C7642F">
      <w:pPr>
        <w:pageBreakBefore w:val="0"/>
        <w:numPr>
          <w:ilvl w:val="0"/>
          <w:numId w:val="0"/>
        </w:numPr>
        <w:kinsoku/>
        <w:wordWrap/>
        <w:overflowPunct/>
        <w:topLinePunct w:val="0"/>
        <w:bidi w:val="0"/>
        <w:snapToGrid w:val="0"/>
        <w:spacing w:line="312" w:lineRule="auto"/>
        <w:textAlignment w:val="center"/>
        <w:outlineLvl w:val="9"/>
        <w:rPr>
          <w:rFonts w:hint="default" w:ascii="微软雅黑" w:hAnsi="微软雅黑" w:eastAsia="微软雅黑" w:cs="微软雅黑"/>
          <w:b w:val="0"/>
          <w:bCs w:val="0"/>
          <w:color w:val="000000"/>
          <w:sz w:val="19"/>
          <w:szCs w:val="19"/>
          <w:lang w:val="en-US" w:eastAsia="zh-CN"/>
        </w:rPr>
      </w:pPr>
      <w:r>
        <w:rPr>
          <w:rFonts w:hint="default" w:ascii="Times New Roman" w:hAnsi="微软雅黑" w:eastAsia="微软雅黑" w:cs="微软雅黑"/>
          <w:b w:val="0"/>
          <w:bCs w:val="0"/>
          <w:color w:val="000000"/>
          <w:kern w:val="2"/>
          <w:sz w:val="19"/>
          <w:szCs w:val="19"/>
          <w:lang w:val="en-US" w:eastAsia="zh-CN" w:bidi="ar-SA"/>
        </w:rPr>
        <w:t>1. System display; Welcome interface.</w:t>
      </w:r>
    </w:p>
    <w:p w14:paraId="028DF748">
      <w:pPr>
        <w:pageBreakBefore w:val="0"/>
        <w:numPr>
          <w:ilvl w:val="0"/>
          <w:numId w:val="0"/>
        </w:numPr>
        <w:kinsoku/>
        <w:wordWrap/>
        <w:overflowPunct/>
        <w:topLinePunct w:val="0"/>
        <w:bidi w:val="0"/>
        <w:snapToGrid w:val="0"/>
        <w:spacing w:line="312" w:lineRule="auto"/>
        <w:textAlignment w:val="center"/>
        <w:outlineLvl w:val="9"/>
        <w:rPr>
          <w:rFonts w:hint="default" w:eastAsia="宋体"/>
          <w:b w:val="0"/>
          <w:bCs w:val="0"/>
          <w:color w:val="000000"/>
          <w:sz w:val="19"/>
          <w:szCs w:val="19"/>
          <w:lang w:val="en-US" w:eastAsia="zh-CN"/>
        </w:rPr>
      </w:pPr>
      <w:r>
        <w:rPr>
          <w:rFonts w:hint="default" w:ascii="Times New Roman" w:hAnsi="微软雅黑" w:eastAsia="微软雅黑" w:cs="微软雅黑"/>
          <w:color w:val="000000"/>
          <w:kern w:val="2"/>
          <w:sz w:val="19"/>
          <w:szCs w:val="19"/>
          <w:lang w:val="en-US" w:eastAsia="zh-CN" w:bidi="ar-SA"/>
        </w:rPr>
        <w:t>2. Emit a startup sound to test the buzzer function. Activate vibration, suction pump, and audible alarm indicators to verify the normal operation of each function.</w:t>
      </w:r>
    </w:p>
    <w:p w14:paraId="5E0262AD">
      <w:pPr>
        <w:pageBreakBefore w:val="0"/>
        <w:numPr>
          <w:ilvl w:val="0"/>
          <w:numId w:val="0"/>
        </w:numPr>
        <w:kinsoku/>
        <w:wordWrap/>
        <w:overflowPunct/>
        <w:topLinePunct w:val="0"/>
        <w:bidi w:val="0"/>
        <w:snapToGrid w:val="0"/>
        <w:spacing w:line="312" w:lineRule="auto"/>
        <w:textAlignment w:val="center"/>
        <w:outlineLvl w:val="9"/>
        <w:rPr>
          <w:rFonts w:hint="default" w:ascii="微软雅黑" w:hAnsi="微软雅黑" w:eastAsia="微软雅黑" w:cs="微软雅黑"/>
          <w:b w:val="0"/>
          <w:bCs w:val="0"/>
          <w:color w:val="000000"/>
          <w:sz w:val="19"/>
          <w:szCs w:val="19"/>
          <w:lang w:val="en-US"/>
        </w:rPr>
      </w:pPr>
      <w:r>
        <w:rPr>
          <w:rFonts w:hint="default" w:ascii="Times New Roman" w:hAnsi="微软雅黑" w:eastAsia="微软雅黑" w:cs="微软雅黑"/>
          <w:b w:val="0"/>
          <w:bCs w:val="0"/>
          <w:color w:val="000000"/>
          <w:kern w:val="2"/>
          <w:sz w:val="19"/>
          <w:szCs w:val="19"/>
          <w:lang w:val="en-US" w:eastAsia="zh-CN" w:bidi="ar-SA"/>
        </w:rPr>
        <w:t>3. Display high and low readings for each detection channel, detection range, and after the self-check procedure is completed, directly enter normal detection mode. As shown in the figure:</w:t>
      </w:r>
    </w:p>
    <w:p w14:paraId="14BDB960">
      <w:pPr>
        <w:pageBreakBefore w:val="0"/>
        <w:numPr>
          <w:ilvl w:val="0"/>
          <w:numId w:val="0"/>
        </w:numPr>
        <w:kinsoku/>
        <w:wordWrap/>
        <w:overflowPunct/>
        <w:topLinePunct w:val="0"/>
        <w:bidi w:val="0"/>
        <w:snapToGrid w:val="0"/>
        <w:spacing w:line="312" w:lineRule="auto"/>
        <w:jc w:val="center"/>
        <w:textAlignment w:val="center"/>
        <w:outlineLvl w:val="9"/>
        <w:rPr>
          <w:rFonts w:hint="eastAsia" w:eastAsia="宋体"/>
          <w:b w:val="0"/>
          <w:bCs w:val="0"/>
          <w:color w:val="000000"/>
          <w:sz w:val="19"/>
          <w:szCs w:val="19"/>
          <w:lang w:eastAsia="zh-CN"/>
        </w:rPr>
      </w:pPr>
      <w:r>
        <w:rPr>
          <w:b w:val="0"/>
          <w:bCs w:val="0"/>
          <w:sz w:val="18"/>
          <w:szCs w:val="18"/>
        </w:rPr>
        <w:drawing>
          <wp:inline distT="0" distB="0" distL="114300" distR="114300">
            <wp:extent cx="3724275" cy="1441450"/>
            <wp:effectExtent l="0" t="0" r="9525" b="6350"/>
            <wp:docPr id="11" name="图片 21"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C:\Users\Administrator\Desktop\OT135.jpgOT135"/>
                    <pic:cNvPicPr>
                      <a:picLocks noChangeAspect="1"/>
                    </pic:cNvPicPr>
                  </pic:nvPicPr>
                  <pic:blipFill>
                    <a:blip r:embed="rId16"/>
                    <a:stretch>
                      <a:fillRect/>
                    </a:stretch>
                  </pic:blipFill>
                  <pic:spPr>
                    <a:xfrm>
                      <a:off x="0" y="0"/>
                      <a:ext cx="3724275" cy="1441450"/>
                    </a:xfrm>
                    <a:prstGeom prst="rect">
                      <a:avLst/>
                    </a:prstGeom>
                    <a:noFill/>
                    <a:ln>
                      <a:noFill/>
                    </a:ln>
                  </pic:spPr>
                </pic:pic>
              </a:graphicData>
            </a:graphic>
          </wp:inline>
        </w:drawing>
      </w:r>
    </w:p>
    <w:p w14:paraId="73F92A47">
      <w:pPr>
        <w:pageBreakBefore w:val="0"/>
        <w:numPr>
          <w:ilvl w:val="0"/>
          <w:numId w:val="0"/>
        </w:numPr>
        <w:kinsoku/>
        <w:wordWrap/>
        <w:overflowPunct/>
        <w:topLinePunct w:val="0"/>
        <w:bidi w:val="0"/>
        <w:snapToGrid w:val="0"/>
        <w:spacing w:line="312" w:lineRule="auto"/>
        <w:textAlignment w:val="center"/>
        <w:outlineLvl w:val="9"/>
        <w:rPr>
          <w:rFonts w:hint="default" w:ascii="宋体" w:hAnsi="宋体" w:eastAsia="宋体" w:cs="宋体"/>
          <w:color w:val="000000"/>
          <w:sz w:val="20"/>
          <w:szCs w:val="20"/>
          <w:lang w:val="en-US"/>
        </w:rPr>
      </w:pPr>
      <w:r>
        <w:rPr>
          <w:rFonts w:hint="default" w:ascii="Times New Roman" w:hAnsi="微软雅黑" w:eastAsia="微软雅黑" w:cs="微软雅黑"/>
          <w:b/>
          <w:bCs/>
          <w:color w:val="000000"/>
          <w:kern w:val="2"/>
          <w:sz w:val="20"/>
          <w:szCs w:val="20"/>
          <w:lang w:val="en-US" w:eastAsia="zh-CN" w:bidi="ar-SA"/>
        </w:rPr>
        <w:t>4.2 Product Shutdown Instructions</w:t>
      </w:r>
    </w:p>
    <w:p w14:paraId="03CF8EA2">
      <w:pPr>
        <w:pageBreakBefore w:val="0"/>
        <w:numPr>
          <w:ilvl w:val="0"/>
          <w:numId w:val="0"/>
        </w:numPr>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 xml:space="preserve">Press the button while the device is powered </w:t>
      </w:r>
      <w:r>
        <w:rPr>
          <w:rFonts w:hint="eastAsia" w:ascii="微软雅黑" w:hAnsi="微软雅黑" w:eastAsia="微软雅黑" w:cs="微软雅黑"/>
          <w:color w:val="auto"/>
          <w:sz w:val="13"/>
          <w:szCs w:val="13"/>
        </w:rPr>
        <w:drawing>
          <wp:inline distT="0" distB="0" distL="114300" distR="114300">
            <wp:extent cx="178435" cy="178435"/>
            <wp:effectExtent l="0" t="0" r="24765" b="24765"/>
            <wp:docPr id="8" name="图片 22" descr="开机键"/>
            <wp:cNvGraphicFramePr/>
            <a:graphic xmlns:a="http://schemas.openxmlformats.org/drawingml/2006/main">
              <a:graphicData uri="http://schemas.openxmlformats.org/drawingml/2006/picture">
                <pic:pic xmlns:pic="http://schemas.openxmlformats.org/drawingml/2006/picture">
                  <pic:nvPicPr>
                    <pic:cNvPr id="8" name="图片 22" descr="开机键"/>
                    <pic:cNvPicPr preferRelativeResize="0"/>
                  </pic:nvPicPr>
                  <pic:blipFill>
                    <a:blip r:embed="rId15"/>
                    <a:stretch>
                      <a:fillRect/>
                    </a:stretch>
                  </pic:blipFill>
                  <pic:spPr>
                    <a:xfrm>
                      <a:off x="0" y="0"/>
                      <a:ext cx="178435" cy="178435"/>
                    </a:xfrm>
                    <a:prstGeom prst="rect">
                      <a:avLst/>
                    </a:prstGeom>
                    <a:noFill/>
                    <a:ln>
                      <a:noFill/>
                    </a:ln>
                  </pic:spPr>
                </pic:pic>
              </a:graphicData>
            </a:graphic>
          </wp:inline>
        </w:drawing>
      </w:r>
      <w:r>
        <w:rPr>
          <w:rFonts w:hint="default" w:ascii="Times New Roman" w:hAnsi="微软雅黑" w:eastAsia="微软雅黑" w:cs="微软雅黑"/>
          <w:color w:val="000000"/>
          <w:kern w:val="2"/>
          <w:sz w:val="19"/>
          <w:szCs w:val="19"/>
          <w:lang w:val="en-US" w:eastAsia="zh-CN" w:bidi="ar-SA"/>
        </w:rPr>
        <w:t>on and operating in detection mode. The buzzer will emit intermittent sounds accompanied by vibration and visual alerts. After 3 seconds, the information will disappear, and releasing the button will turn off the device.</w:t>
      </w:r>
    </w:p>
    <w:p w14:paraId="11FF66F6">
      <w:pPr>
        <w:pageBreakBefore w:val="0"/>
        <w:numPr>
          <w:ilvl w:val="0"/>
          <w:numId w:val="0"/>
        </w:numPr>
        <w:kinsoku/>
        <w:wordWrap/>
        <w:overflowPunct/>
        <w:topLinePunct w:val="0"/>
        <w:bidi w:val="0"/>
        <w:snapToGrid w:val="0"/>
        <w:spacing w:line="312" w:lineRule="auto"/>
        <w:textAlignment w:val="center"/>
        <w:outlineLvl w:val="9"/>
        <w:rPr>
          <w:rFonts w:hint="eastAsia" w:ascii="微软雅黑" w:hAnsi="微软雅黑" w:eastAsia="微软雅黑" w:cs="微软雅黑"/>
          <w:b/>
          <w:bCs/>
          <w:color w:val="000000"/>
          <w:sz w:val="20"/>
          <w:szCs w:val="20"/>
          <w:lang w:val="en-US" w:eastAsia="zh-CN"/>
        </w:rPr>
      </w:pPr>
      <w:r>
        <w:rPr>
          <w:rFonts w:hint="default" w:ascii="Times New Roman" w:hAnsi="微软雅黑" w:eastAsia="微软雅黑" w:cs="微软雅黑"/>
          <w:b/>
          <w:bCs/>
          <w:color w:val="000000"/>
          <w:kern w:val="2"/>
          <w:sz w:val="20"/>
          <w:szCs w:val="20"/>
          <w:lang w:val="en-US" w:eastAsia="zh-CN" w:bidi="ar-SA"/>
        </w:rPr>
        <w:t>4.3 Product Parameter Function Description</w:t>
      </w:r>
    </w:p>
    <w:p w14:paraId="7EC20783">
      <w:pPr>
        <w:pStyle w:val="5"/>
        <w:pageBreakBefore w:val="0"/>
        <w:kinsoku/>
        <w:wordWrap/>
        <w:overflowPunct/>
        <w:topLinePunct w:val="0"/>
        <w:bidi w:val="0"/>
        <w:jc w:val="both"/>
        <w:textAlignment w:val="center"/>
        <w:outlineLvl w:val="9"/>
        <w:rPr>
          <w:rFonts w:hint="default" w:ascii="微软雅黑" w:hAnsi="微软雅黑" w:eastAsia="微软雅黑" w:cs="微软雅黑"/>
          <w:b w:val="0"/>
          <w:bCs/>
          <w:color w:val="000000"/>
          <w:sz w:val="19"/>
          <w:szCs w:val="19"/>
          <w:lang w:val="en-US"/>
        </w:rPr>
      </w:pPr>
      <w:r>
        <w:rPr>
          <w:rFonts w:hint="default" w:ascii="Times New Roman" w:hAnsi="微软雅黑" w:eastAsia="微软雅黑" w:cs="微软雅黑"/>
          <w:b w:val="0"/>
          <w:bCs/>
          <w:color w:val="000000"/>
          <w:kern w:val="2"/>
          <w:sz w:val="19"/>
          <w:szCs w:val="19"/>
          <w:lang w:val="en-US" w:eastAsia="zh-CN" w:bidi="ar-SA"/>
        </w:rPr>
        <w:t>The parameter sets the default password to 1111. If no password is set, the system will return to the detection interface after 10 seconds.</w:t>
      </w:r>
    </w:p>
    <w:p w14:paraId="4772C51F">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b/>
          <w:bCs w:val="0"/>
          <w:sz w:val="19"/>
          <w:szCs w:val="19"/>
          <w:lang w:val="en-US" w:eastAsia="zh-CN"/>
        </w:rPr>
      </w:pPr>
      <w:r>
        <w:rPr>
          <w:rFonts w:hint="eastAsia" w:ascii="Times New Roman" w:hAnsi="微软雅黑" w:eastAsia="微软雅黑" w:cs="微软雅黑"/>
          <w:sz w:val="19"/>
          <w:szCs w:val="19"/>
        </w:rPr>
        <w:drawing>
          <wp:anchor distT="0" distB="0" distL="114300" distR="114300" simplePos="0" relativeHeight="251661312" behindDoc="1" locked="0" layoutInCell="1" allowOverlap="1">
            <wp:simplePos x="0" y="0"/>
            <wp:positionH relativeFrom="column">
              <wp:posOffset>2865120</wp:posOffset>
            </wp:positionH>
            <wp:positionV relativeFrom="paragraph">
              <wp:posOffset>242570</wp:posOffset>
            </wp:positionV>
            <wp:extent cx="1127760" cy="1407795"/>
            <wp:effectExtent l="0" t="0" r="15240" b="14605"/>
            <wp:wrapTight wrapText="bothSides">
              <wp:wrapPolygon>
                <wp:start x="0" y="0"/>
                <wp:lineTo x="0" y="21045"/>
                <wp:lineTo x="20919" y="21045"/>
                <wp:lineTo x="20919" y="0"/>
                <wp:lineTo x="0" y="0"/>
              </wp:wrapPolygon>
            </wp:wrapTight>
            <wp:docPr id="9" name="图片 3"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C:\Users\Administrator\Desktop\OT135.jpgOT135"/>
                    <pic:cNvPicPr>
                      <a:picLocks noChangeAspect="1"/>
                    </pic:cNvPicPr>
                  </pic:nvPicPr>
                  <pic:blipFill>
                    <a:blip r:embed="rId17"/>
                    <a:stretch>
                      <a:fillRect/>
                    </a:stretch>
                  </pic:blipFill>
                  <pic:spPr>
                    <a:xfrm>
                      <a:off x="0" y="0"/>
                      <a:ext cx="1127760" cy="1407795"/>
                    </a:xfrm>
                    <a:prstGeom prst="rect">
                      <a:avLst/>
                    </a:prstGeom>
                    <a:noFill/>
                    <a:ln>
                      <a:noFill/>
                    </a:ln>
                  </pic:spPr>
                </pic:pic>
              </a:graphicData>
            </a:graphic>
          </wp:anchor>
        </w:drawing>
      </w:r>
      <w:r>
        <w:rPr>
          <w:rFonts w:hint="default" w:ascii="Times New Roman" w:hAnsi="微软雅黑" w:eastAsia="微软雅黑" w:cs="微软雅黑"/>
          <w:b/>
          <w:bCs w:val="0"/>
          <w:color w:val="000000"/>
          <w:kern w:val="2"/>
          <w:sz w:val="19"/>
          <w:szCs w:val="19"/>
          <w:lang w:val="en-US" w:eastAsia="zh-CN" w:bidi="ar-SA"/>
        </w:rPr>
        <w:t>See the table below for user menu function descriptions</w:t>
      </w:r>
    </w:p>
    <w:p w14:paraId="1FE79082">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Alarm history: View recent alarm records</w:t>
      </w:r>
    </w:p>
    <w:p w14:paraId="3E9A8BF7">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Alarm settings: You can configure low-level and high-level alarm thresholds for each detection channel.</w:t>
      </w:r>
    </w:p>
    <w:p w14:paraId="31AF9200">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Zero point setting: You can adjust the zero point offset for each detection channel.</w:t>
      </w:r>
    </w:p>
    <w:p w14:paraId="1737FA99">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Instrument calibration: Gas parameters of each channel can be verified or calibrated using sample gas.</w:t>
      </w:r>
    </w:p>
    <w:p w14:paraId="64532C2F">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Self-test: Can detect whether various instrument indicators are normal</w:t>
      </w:r>
    </w:p>
    <w:p w14:paraId="47685735">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The information shows: you can visually view parameters such as alarm range for each channel.</w:t>
      </w:r>
    </w:p>
    <w:p w14:paraId="0E4A03C6">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Time settings: Set alarm time</w:t>
      </w:r>
    </w:p>
    <w:p w14:paraId="5A5ADB80">
      <w:pPr>
        <w:pageBreakBefore w:val="0"/>
        <w:kinsoku/>
        <w:wordWrap/>
        <w:overflowPunct/>
        <w:topLinePunct w:val="0"/>
        <w:bidi w:val="0"/>
        <w:snapToGrid w:val="0"/>
        <w:spacing w:line="312" w:lineRule="auto"/>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Password reset: You can set a login password to prevent accidental access from other sources.</w:t>
      </w:r>
    </w:p>
    <w:p w14:paraId="72425656">
      <w:pPr>
        <w:pageBreakBefore w:val="0"/>
        <w:kinsoku/>
        <w:wordWrap/>
        <w:overflowPunct/>
        <w:topLinePunct w:val="0"/>
        <w:bidi w:val="0"/>
        <w:snapToGrid w:val="0"/>
        <w:spacing w:line="312" w:lineRule="auto"/>
        <w:ind w:left="1000" w:hanging="950" w:hangingChars="5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Restore factory settings: You can directly restore the device to its factory configuration. Original data will be automatically deleted after restoration. Proceed with caution.</w:t>
      </w:r>
    </w:p>
    <w:p w14:paraId="52B6266B">
      <w:pPr>
        <w:pageBreakBefore w:val="0"/>
        <w:kinsoku/>
        <w:wordWrap/>
        <w:overflowPunct/>
        <w:topLinePunct w:val="0"/>
        <w:bidi w:val="0"/>
        <w:snapToGrid w:val="0"/>
        <w:spacing w:line="312" w:lineRule="auto"/>
        <w:ind w:left="1000" w:hanging="950" w:hangingChars="5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Exit: This function allows you to return directly to the detection interface or automatically return after 10 seconds if no further actions are performed.</w:t>
      </w:r>
    </w:p>
    <w:p w14:paraId="4BFC7BDB">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b/>
          <w:iCs/>
          <w:color w:val="000000"/>
          <w:sz w:val="19"/>
          <w:szCs w:val="19"/>
          <w:lang w:val="en-US"/>
        </w:rPr>
      </w:pPr>
      <w:r>
        <w:rPr>
          <w:rFonts w:hint="default" w:ascii="Times New Roman" w:hAnsi="微软雅黑" w:eastAsia="微软雅黑" w:cs="微软雅黑"/>
          <w:b/>
          <w:iCs/>
          <w:color w:val="000000"/>
          <w:kern w:val="2"/>
          <w:sz w:val="19"/>
          <w:szCs w:val="19"/>
          <w:lang w:val="en-US" w:eastAsia="zh-CN" w:bidi="ar-SA"/>
        </w:rPr>
        <w:t>Warning: Charging the detector while powered on may compromise the accuracy of detection data. Do not charge the detector at the detection site to avoid potential fires or explosions caused by sparks from unplugging the charger. Additionally, refrain from charging the detector while it is powered on to prevent reduced charging speed and shortened battery life.</w:t>
      </w:r>
    </w:p>
    <w:p w14:paraId="55CA9492">
      <w:pPr>
        <w:pageBreakBefore w:val="0"/>
        <w:kinsoku/>
        <w:wordWrap/>
        <w:overflowPunct/>
        <w:topLinePunct w:val="0"/>
        <w:bidi w:val="0"/>
        <w:snapToGrid w:val="0"/>
        <w:spacing w:line="312" w:lineRule="auto"/>
        <w:textAlignment w:val="center"/>
        <w:outlineLvl w:val="9"/>
        <w:rPr>
          <w:rFonts w:hint="default" w:ascii="宋体" w:hAnsi="宋体" w:eastAsia="宋体" w:cs="宋体"/>
          <w:b/>
          <w:bCs/>
          <w:sz w:val="20"/>
          <w:szCs w:val="20"/>
          <w:lang w:val="en-US"/>
        </w:rPr>
      </w:pPr>
      <w:r>
        <w:rPr>
          <w:rFonts w:hint="default" w:ascii="Times New Roman" w:hAnsi="微软雅黑" w:eastAsia="微软雅黑" w:cs="微软雅黑"/>
          <w:b/>
          <w:bCs/>
          <w:color w:val="000000"/>
          <w:kern w:val="2"/>
          <w:sz w:val="20"/>
          <w:szCs w:val="20"/>
          <w:lang w:val="en-US" w:eastAsia="zh-CN" w:bidi="ar-SA"/>
        </w:rPr>
        <w:t>4.4 Product Alarm Indicator Description</w:t>
      </w:r>
    </w:p>
    <w:p w14:paraId="75E2E8C8">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b/>
          <w:bCs/>
          <w:sz w:val="19"/>
          <w:szCs w:val="19"/>
          <w:lang w:val="en-US"/>
        </w:rPr>
      </w:pPr>
      <w:r>
        <w:rPr>
          <w:rFonts w:hint="default" w:ascii="Times New Roman" w:hAnsi="微软雅黑" w:eastAsia="微软雅黑" w:cs="微软雅黑"/>
          <w:b/>
          <w:bCs/>
          <w:kern w:val="2"/>
          <w:sz w:val="19"/>
          <w:szCs w:val="19"/>
          <w:lang w:val="en-US" w:eastAsia="zh-CN" w:bidi="ar-SA"/>
        </w:rPr>
        <w:t>Low alarm</w:t>
      </w:r>
    </w:p>
    <w:p w14:paraId="273AE202">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 Slowly modulating beeping alarm sound · Slow flashing alarm indicator light · Vibration</w:t>
      </w:r>
    </w:p>
    <w:p w14:paraId="0ED99982">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b/>
          <w:bCs/>
          <w:sz w:val="19"/>
          <w:szCs w:val="19"/>
          <w:lang w:val="en-US"/>
        </w:rPr>
      </w:pPr>
      <w:r>
        <w:rPr>
          <w:rFonts w:hint="default" w:ascii="Times New Roman" w:hAnsi="微软雅黑" w:eastAsia="微软雅黑" w:cs="微软雅黑"/>
          <w:b/>
          <w:bCs/>
          <w:kern w:val="2"/>
          <w:sz w:val="19"/>
          <w:szCs w:val="19"/>
          <w:lang w:val="en-US" w:eastAsia="zh-CN" w:bidi="ar-SA"/>
        </w:rPr>
        <w:t>High alarm</w:t>
      </w:r>
    </w:p>
    <w:p w14:paraId="752A217D">
      <w:pPr>
        <w:pageBreakBefore w:val="0"/>
        <w:kinsoku/>
        <w:wordWrap/>
        <w:overflowPunct/>
        <w:topLinePunct w:val="0"/>
        <w:bidi w:val="0"/>
        <w:snapToGrid w:val="0"/>
        <w:spacing w:line="312" w:lineRule="auto"/>
        <w:ind w:firstLine="380" w:firstLineChars="200"/>
        <w:textAlignment w:val="center"/>
        <w:outlineLvl w:val="9"/>
        <w:rPr>
          <w:rFonts w:hint="default" w:ascii="微软雅黑" w:hAnsi="微软雅黑" w:eastAsia="微软雅黑" w:cs="微软雅黑"/>
          <w:color w:val="000000"/>
          <w:sz w:val="19"/>
          <w:szCs w:val="19"/>
          <w:lang w:val="en-US"/>
        </w:rPr>
      </w:pPr>
      <w:r>
        <w:rPr>
          <w:rFonts w:hint="default" w:ascii="Times New Roman" w:hAnsi="微软雅黑" w:eastAsia="微软雅黑" w:cs="微软雅黑"/>
          <w:color w:val="000000"/>
          <w:kern w:val="2"/>
          <w:sz w:val="19"/>
          <w:szCs w:val="19"/>
          <w:lang w:val="en-US" w:eastAsia="zh-CN" w:bidi="ar-SA"/>
        </w:rPr>
        <w:t>·Rapid pitch-changing beeping alarm sound ·Alarming indicator light flashing rapidly ·Vibration</w:t>
      </w:r>
    </w:p>
    <w:p w14:paraId="587BA6B0">
      <w:pPr>
        <w:pageBreakBefore w:val="0"/>
        <w:numPr>
          <w:ilvl w:val="0"/>
          <w:numId w:val="0"/>
        </w:numPr>
        <w:kinsoku/>
        <w:wordWrap/>
        <w:overflowPunct/>
        <w:topLinePunct w:val="0"/>
        <w:bidi w:val="0"/>
        <w:snapToGrid w:val="0"/>
        <w:spacing w:line="312" w:lineRule="auto"/>
        <w:textAlignment w:val="center"/>
        <w:outlineLvl w:val="9"/>
        <w:rPr>
          <w:rFonts w:hint="eastAsia" w:ascii="微软雅黑" w:hAnsi="微软雅黑" w:eastAsia="微软雅黑" w:cs="微软雅黑"/>
          <w:b/>
          <w:bCs w:val="0"/>
          <w:sz w:val="20"/>
          <w:szCs w:val="20"/>
        </w:rPr>
      </w:pPr>
      <w:r>
        <w:rPr>
          <w:rFonts w:hint="default" w:ascii="Times New Roman" w:hAnsi="微软雅黑" w:eastAsia="微软雅黑" w:cs="微软雅黑"/>
          <w:b/>
          <w:bCs w:val="0"/>
          <w:kern w:val="2"/>
          <w:sz w:val="20"/>
          <w:szCs w:val="20"/>
          <w:lang w:val="en-US" w:eastAsia="zh-CN" w:bidi="ar-SA"/>
        </w:rPr>
        <w:t>4.5 Product Operation Instructions</w:t>
      </w:r>
    </w:p>
    <w:p w14:paraId="033BF54C">
      <w:pPr>
        <w:pageBreakBefore w:val="0"/>
        <w:numPr>
          <w:ilvl w:val="0"/>
          <w:numId w:val="0"/>
        </w:numPr>
        <w:kinsoku/>
        <w:wordWrap/>
        <w:overflowPunct/>
        <w:topLinePunct w:val="0"/>
        <w:bidi w:val="0"/>
        <w:snapToGrid w:val="0"/>
        <w:spacing w:line="312" w:lineRule="auto"/>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1. Alarm record: Records alarm data.</w:t>
      </w:r>
    </w:p>
    <w:p w14:paraId="5530F9D3">
      <w:pPr>
        <w:pageBreakBefore w:val="0"/>
        <w:numPr>
          <w:ilvl w:val="0"/>
          <w:numId w:val="4"/>
        </w:numPr>
        <w:kinsoku/>
        <w:wordWrap/>
        <w:overflowPunct/>
        <w:topLinePunct w:val="0"/>
        <w:bidi w:val="0"/>
        <w:snapToGrid w:val="0"/>
        <w:spacing w:line="312" w:lineRule="auto"/>
        <w:ind w:left="190" w:leftChars="0" w:firstLine="0" w:firstLineChars="0"/>
        <w:textAlignment w:val="center"/>
        <w:outlineLvl w:val="9"/>
        <w:rPr>
          <w:rFonts w:hint="eastAsia" w:ascii="微软雅黑" w:hAnsi="微软雅黑" w:eastAsia="微软雅黑" w:cs="微软雅黑"/>
          <w:b w:val="0"/>
          <w:bCs w:val="0"/>
          <w:sz w:val="19"/>
          <w:szCs w:val="19"/>
        </w:rPr>
      </w:pPr>
      <w:r>
        <w:rPr>
          <w:rFonts w:hint="default" w:ascii="Times New Roman" w:hAnsi="微软雅黑" w:eastAsia="微软雅黑" w:cs="微软雅黑"/>
          <w:kern w:val="2"/>
          <w:sz w:val="19"/>
          <w:szCs w:val="19"/>
          <w:lang w:val="en-US" w:eastAsia="zh-CN" w:bidi="ar-SA"/>
        </w:rPr>
        <w:t>Press the middle key directly to enter the menu and select the first item "Alarm Record". Click the middle key again to access the "Alarm Record Menu" as shown in the figure.</w:t>
      </w:r>
    </w:p>
    <w:p w14:paraId="5BA51034">
      <w:pPr>
        <w:pageBreakBefore w:val="0"/>
        <w:numPr>
          <w:ilvl w:val="0"/>
          <w:numId w:val="4"/>
        </w:numPr>
        <w:kinsoku/>
        <w:wordWrap/>
        <w:overflowPunct/>
        <w:topLinePunct w:val="0"/>
        <w:bidi w:val="0"/>
        <w:snapToGrid w:val="0"/>
        <w:spacing w:line="312" w:lineRule="auto"/>
        <w:ind w:left="190" w:leftChars="0" w:firstLine="0" w:firstLineChars="0"/>
        <w:textAlignment w:val="center"/>
        <w:outlineLvl w:val="9"/>
        <w:rPr>
          <w:rFonts w:hint="eastAsia" w:ascii="微软雅黑" w:hAnsi="微软雅黑" w:eastAsia="微软雅黑" w:cs="微软雅黑"/>
          <w:b w:val="0"/>
          <w:bCs w:val="0"/>
          <w:sz w:val="19"/>
          <w:szCs w:val="19"/>
        </w:rPr>
      </w:pPr>
      <w:r>
        <w:rPr>
          <w:rFonts w:hint="default" w:ascii="Times New Roman" w:hAnsi="微软雅黑" w:eastAsia="微软雅黑" w:cs="微软雅黑"/>
          <w:b w:val="0"/>
          <w:bCs w:val="0"/>
          <w:kern w:val="2"/>
          <w:sz w:val="19"/>
          <w:szCs w:val="19"/>
          <w:lang w:val="en-US" w:eastAsia="zh-CN" w:bidi="ar-SA"/>
        </w:rPr>
        <w:t>Click the "Middle Key" to select and enter the "Clear/Exit" function. As shown in Figure 1-2.</w:t>
      </w:r>
    </w:p>
    <w:p w14:paraId="00DF5AB0">
      <w:pPr>
        <w:pageBreakBefore w:val="0"/>
        <w:numPr>
          <w:ilvl w:val="0"/>
          <w:numId w:val="4"/>
        </w:numPr>
        <w:kinsoku/>
        <w:wordWrap/>
        <w:overflowPunct/>
        <w:topLinePunct w:val="0"/>
        <w:bidi w:val="0"/>
        <w:snapToGrid w:val="0"/>
        <w:spacing w:line="312" w:lineRule="auto"/>
        <w:ind w:left="19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Click the left button to clear alarm records. As shown in Figure 1-3. Confirm whether to clear alarm records and click the left button again to clear them. As shown in Figure 1-4. Click the right button to return to the menu.</w:t>
      </w:r>
    </w:p>
    <w:p w14:paraId="1C72DD6B">
      <w:pPr>
        <w:pStyle w:val="9"/>
        <w:pageBreakBefore w:val="0"/>
        <w:numPr>
          <w:ilvl w:val="0"/>
          <w:numId w:val="0"/>
        </w:numPr>
        <w:kinsoku/>
        <w:wordWrap/>
        <w:overflowPunct/>
        <w:topLinePunct w:val="0"/>
        <w:bidi w:val="0"/>
        <w:jc w:val="center"/>
        <w:textAlignment w:val="center"/>
        <w:outlineLvl w:val="9"/>
        <w:rPr>
          <w:rFonts w:hint="eastAsia" w:ascii="微软雅黑" w:hAnsi="微软雅黑" w:eastAsia="微软雅黑" w:cs="微软雅黑"/>
          <w:sz w:val="19"/>
          <w:szCs w:val="19"/>
        </w:rPr>
      </w:pPr>
      <w:r>
        <w:drawing>
          <wp:inline distT="0" distB="0" distL="114300" distR="114300">
            <wp:extent cx="3554095" cy="1358900"/>
            <wp:effectExtent l="0" t="0" r="8255" b="12700"/>
            <wp:docPr id="3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pic:cNvPicPr>
                      <a:picLocks noChangeAspect="1"/>
                    </pic:cNvPicPr>
                  </pic:nvPicPr>
                  <pic:blipFill>
                    <a:blip r:embed="rId18"/>
                    <a:stretch>
                      <a:fillRect/>
                    </a:stretch>
                  </pic:blipFill>
                  <pic:spPr>
                    <a:xfrm>
                      <a:off x="0" y="0"/>
                      <a:ext cx="3554095" cy="1358900"/>
                    </a:xfrm>
                    <a:prstGeom prst="rect">
                      <a:avLst/>
                    </a:prstGeom>
                    <a:noFill/>
                    <a:ln>
                      <a:noFill/>
                    </a:ln>
                  </pic:spPr>
                </pic:pic>
              </a:graphicData>
            </a:graphic>
          </wp:inline>
        </w:drawing>
      </w:r>
    </w:p>
    <w:p w14:paraId="28E27446">
      <w:pPr>
        <w:pageBreakBefore w:val="0"/>
        <w:numPr>
          <w:ilvl w:val="0"/>
          <w:numId w:val="0"/>
        </w:numPr>
        <w:kinsoku/>
        <w:wordWrap/>
        <w:overflowPunct/>
        <w:topLinePunct w:val="0"/>
        <w:bidi w:val="0"/>
        <w:snapToGrid w:val="0"/>
        <w:spacing w:line="300" w:lineRule="auto"/>
        <w:ind w:leftChars="0"/>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2. Alarm settings: Set the low and high alarm thresholds for the channel.</w:t>
      </w:r>
    </w:p>
    <w:p w14:paraId="52AC4CB2">
      <w:pPr>
        <w:pageBreakBefore w:val="0"/>
        <w:numPr>
          <w:ilvl w:val="0"/>
          <w:numId w:val="5"/>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Select 'Alarm Settings' from the menu items to enter the alarm settings interface. As shown in Figure 2-1, press the left/right buttons to switch between channels 'Previous Item' and 'Next Item'.</w:t>
      </w:r>
    </w:p>
    <w:p w14:paraId="27CA0CAC">
      <w:pPr>
        <w:pageBreakBefore w:val="0"/>
        <w:numPr>
          <w:ilvl w:val="0"/>
          <w:numId w:val="5"/>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Press the middle key to adjust the selection box position vertically (see Figure 2-2). Press the left or right keys to "increase" or "decrease" the preset height values.</w:t>
      </w:r>
    </w:p>
    <w:p w14:paraId="35E7C8E5">
      <w:pPr>
        <w:pageBreakBefore w:val="0"/>
        <w:numPr>
          <w:ilvl w:val="0"/>
          <w:numId w:val="5"/>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Move the selection box to the bottom, right-click and select "Save" to display the save icon. As shown in Figure 2-3, the save is successful. Right-click "Exit" to return to the menu interface. Press the middle key "Select" to switch channels.</w:t>
      </w:r>
    </w:p>
    <w:p w14:paraId="643DDA62">
      <w:pPr>
        <w:pageBreakBefore w:val="0"/>
        <w:numPr>
          <w:ilvl w:val="0"/>
          <w:numId w:val="0"/>
        </w:numPr>
        <w:kinsoku/>
        <w:wordWrap/>
        <w:overflowPunct/>
        <w:topLinePunct w:val="0"/>
        <w:bidi w:val="0"/>
        <w:snapToGrid w:val="0"/>
        <w:spacing w:line="312" w:lineRule="auto"/>
        <w:ind w:leftChars="0"/>
        <w:jc w:val="center"/>
        <w:textAlignment w:val="center"/>
        <w:outlineLvl w:val="9"/>
        <w:rPr>
          <w:rFonts w:hint="eastAsia" w:ascii="微软雅黑" w:hAnsi="微软雅黑" w:eastAsia="微软雅黑" w:cs="微软雅黑"/>
          <w:sz w:val="19"/>
          <w:szCs w:val="19"/>
          <w:lang w:val="en-US" w:eastAsia="zh-CN"/>
        </w:rPr>
      </w:pPr>
      <w:r>
        <w:drawing>
          <wp:inline distT="0" distB="0" distL="114300" distR="114300">
            <wp:extent cx="3001645" cy="1409065"/>
            <wp:effectExtent l="0" t="0" r="8255" b="635"/>
            <wp:docPr id="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pic:cNvPicPr>
                      <a:picLocks noChangeAspect="1"/>
                    </pic:cNvPicPr>
                  </pic:nvPicPr>
                  <pic:blipFill>
                    <a:blip r:embed="rId19"/>
                    <a:stretch>
                      <a:fillRect/>
                    </a:stretch>
                  </pic:blipFill>
                  <pic:spPr>
                    <a:xfrm>
                      <a:off x="0" y="0"/>
                      <a:ext cx="3001645" cy="1409065"/>
                    </a:xfrm>
                    <a:prstGeom prst="rect">
                      <a:avLst/>
                    </a:prstGeom>
                    <a:noFill/>
                    <a:ln>
                      <a:noFill/>
                    </a:ln>
                  </pic:spPr>
                </pic:pic>
              </a:graphicData>
            </a:graphic>
          </wp:inline>
        </w:drawing>
      </w:r>
    </w:p>
    <w:p w14:paraId="39D88C25">
      <w:pPr>
        <w:pageBreakBefore w:val="0"/>
        <w:numPr>
          <w:ilvl w:val="0"/>
          <w:numId w:val="0"/>
        </w:numPr>
        <w:kinsoku/>
        <w:wordWrap/>
        <w:overflowPunct/>
        <w:topLinePunct w:val="0"/>
        <w:bidi w:val="0"/>
        <w:snapToGrid w:val="0"/>
        <w:spacing w:line="312" w:lineRule="auto"/>
        <w:ind w:leftChars="0"/>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3. Zero point setting: When entering zero point adjustment mode, the air pump will automatically activate.</w:t>
      </w:r>
    </w:p>
    <w:p w14:paraId="4B7F15BD">
      <w:pPr>
        <w:pageBreakBefore w:val="0"/>
        <w:numPr>
          <w:ilvl w:val="0"/>
          <w:numId w:val="6"/>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Press the left or right arrow keys to switch between the "Previous" and "Next" selection channels. See Figure 3-1.</w:t>
      </w:r>
    </w:p>
    <w:p w14:paraId="03278A58">
      <w:pPr>
        <w:pageBreakBefore w:val="0"/>
        <w:numPr>
          <w:ilvl w:val="0"/>
          <w:numId w:val="6"/>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Press the left or right arrow keys to switch between the "Previous" and "Next" selection channels. See Figure 3-1.</w:t>
      </w:r>
    </w:p>
    <w:p w14:paraId="0B14FA9F">
      <w:pPr>
        <w:pageBreakBefore w:val="0"/>
        <w:numPr>
          <w:ilvl w:val="0"/>
          <w:numId w:val="6"/>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Move the selection box to the bottom, wait for the zero point value to stabilize, then click the left button to select "Save" and the save icon will appear. As shown in Figure 3-3, this indicates successful saving. Click the right button to "Exit" and return to the menu interface. Press the middle button to "Select" to switch channels.</w:t>
      </w:r>
    </w:p>
    <w:p w14:paraId="28BB86F3">
      <w:pPr>
        <w:pStyle w:val="9"/>
        <w:pageBreakBefore w:val="0"/>
        <w:kinsoku/>
        <w:wordWrap/>
        <w:overflowPunct/>
        <w:topLinePunct w:val="0"/>
        <w:bidi w:val="0"/>
        <w:ind w:left="0" w:leftChars="0" w:firstLine="0" w:firstLineChars="0"/>
        <w:jc w:val="center"/>
        <w:textAlignment w:val="center"/>
        <w:outlineLvl w:val="9"/>
        <w:rPr>
          <w:rFonts w:hint="eastAsia" w:ascii="微软雅黑" w:hAnsi="微软雅黑" w:eastAsia="微软雅黑" w:cs="微软雅黑"/>
          <w:sz w:val="18"/>
          <w:szCs w:val="18"/>
        </w:rPr>
      </w:pPr>
      <w:r>
        <w:drawing>
          <wp:inline distT="0" distB="0" distL="114300" distR="114300">
            <wp:extent cx="2717165" cy="1317625"/>
            <wp:effectExtent l="0" t="0" r="6985" b="15875"/>
            <wp:docPr id="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pic:cNvPicPr>
                      <a:picLocks noChangeAspect="1"/>
                    </pic:cNvPicPr>
                  </pic:nvPicPr>
                  <pic:blipFill>
                    <a:blip r:embed="rId20"/>
                    <a:stretch>
                      <a:fillRect/>
                    </a:stretch>
                  </pic:blipFill>
                  <pic:spPr>
                    <a:xfrm>
                      <a:off x="0" y="0"/>
                      <a:ext cx="2717165" cy="1317625"/>
                    </a:xfrm>
                    <a:prstGeom prst="rect">
                      <a:avLst/>
                    </a:prstGeom>
                    <a:noFill/>
                    <a:ln>
                      <a:noFill/>
                    </a:ln>
                  </pic:spPr>
                </pic:pic>
              </a:graphicData>
            </a:graphic>
          </wp:inline>
        </w:drawing>
      </w:r>
    </w:p>
    <w:p w14:paraId="2492CC46">
      <w:pPr>
        <w:pStyle w:val="9"/>
        <w:pageBreakBefore w:val="0"/>
        <w:numPr>
          <w:ilvl w:val="0"/>
          <w:numId w:val="0"/>
        </w:numPr>
        <w:kinsoku/>
        <w:wordWrap/>
        <w:overflowPunct/>
        <w:topLinePunct w:val="0"/>
        <w:bidi w:val="0"/>
        <w:ind w:leftChars="0"/>
        <w:textAlignment w:val="center"/>
        <w:outlineLvl w:val="9"/>
        <w:rPr>
          <w:rFonts w:hint="default" w:ascii="微软雅黑" w:hAnsi="微软雅黑" w:eastAsia="微软雅黑" w:cs="微软雅黑"/>
          <w:sz w:val="18"/>
          <w:szCs w:val="18"/>
          <w:lang w:val="en-US"/>
        </w:rPr>
      </w:pPr>
      <w:r>
        <w:rPr>
          <w:rFonts w:hint="default" w:ascii="Times New Roman" w:hAnsi="微软雅黑" w:eastAsia="微软雅黑" w:cs="微软雅黑"/>
          <w:kern w:val="2"/>
          <w:sz w:val="18"/>
          <w:szCs w:val="18"/>
          <w:lang w:val="en-US" w:eastAsia="zh-CN" w:bidi="ar-SA"/>
        </w:rPr>
        <w:t>4. Instrument Calibration: Upon entering calibration mode, the air pump will automatically activate.</w:t>
      </w:r>
    </w:p>
    <w:p w14:paraId="718B8C9B">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Press the left or right arrow keys to switch between the "Previous" and "Next" channels. As shown in Figure 4-1, after selection, proceed to zero point translation. See Figure 4-2.</w:t>
      </w:r>
    </w:p>
    <w:p w14:paraId="12066A3D">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sz w:val="19"/>
          <w:szCs w:val="19"/>
        </w:rPr>
      </w:pPr>
      <w:r>
        <w:rPr>
          <w:rFonts w:hint="default" w:ascii="Times New Roman" w:hAnsi="微软雅黑" w:eastAsia="微软雅黑" w:cs="微软雅黑"/>
          <w:kern w:val="2"/>
          <w:sz w:val="19"/>
          <w:szCs w:val="19"/>
          <w:lang w:val="en-US" w:eastAsia="zh-CN" w:bidi="ar-SA"/>
        </w:rPr>
        <w:t>Save the zero point by clicking 'Save' with the left mouse button. (Note: When saving zero point values, ensure the operation is performed in clean air.)</w:t>
      </w:r>
    </w:p>
    <w:p w14:paraId="21D1D643">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Enter the standard gas password (9119) using the middle key "Standard Gas" to access the standard gas interface. As shown in Figure 4-3.</w:t>
      </w:r>
    </w:p>
    <w:p w14:paraId="0D381BC3">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Press the left or right arrow keys to enter standard gas values. See Figure 4-4</w:t>
      </w:r>
    </w:p>
    <w:p w14:paraId="40E8FBCD">
      <w:pPr>
        <w:pageBreakBefore w:val="0"/>
        <w:numPr>
          <w:ilvl w:val="0"/>
          <w:numId w:val="7"/>
        </w:numPr>
        <w:kinsoku/>
        <w:wordWrap/>
        <w:overflowPunct/>
        <w:topLinePunct w:val="0"/>
        <w:bidi w:val="0"/>
        <w:snapToGrid w:val="0"/>
        <w:spacing w:line="312"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b w:val="0"/>
          <w:bCs w:val="0"/>
          <w:kern w:val="2"/>
          <w:sz w:val="19"/>
          <w:szCs w:val="19"/>
          <w:lang w:val="en-US" w:eastAsia="zh-CN" w:bidi="ar-SA"/>
        </w:rPr>
        <w:t>The intermediate key "Ventilation" is activated to initiate ventilation calibration. Wait for the values to stabilize (this process should not exceed 60 seconds), then click the left key "Save" to store the ventilation values. As shown in Figure 4-5.</w:t>
      </w:r>
    </w:p>
    <w:p w14:paraId="0599DEA9">
      <w:pPr>
        <w:pageBreakBefore w:val="0"/>
        <w:numPr>
          <w:ilvl w:val="0"/>
          <w:numId w:val="7"/>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After successful saving, the save icon will appear. Right-click to select Exit and return to the menu, or click the middle button Select to switch channels.</w:t>
      </w:r>
    </w:p>
    <w:p w14:paraId="43D2A5FE">
      <w:pPr>
        <w:pStyle w:val="9"/>
        <w:pageBreakBefore w:val="0"/>
        <w:kinsoku/>
        <w:wordWrap/>
        <w:overflowPunct/>
        <w:topLinePunct w:val="0"/>
        <w:bidi w:val="0"/>
        <w:ind w:left="0" w:leftChars="0" w:firstLine="0" w:firstLineChars="0"/>
        <w:jc w:val="center"/>
        <w:textAlignment w:val="center"/>
        <w:outlineLvl w:val="9"/>
        <w:rPr>
          <w:rFonts w:hint="eastAsia"/>
          <w:sz w:val="18"/>
          <w:szCs w:val="18"/>
        </w:rPr>
      </w:pPr>
      <w:r>
        <w:rPr>
          <w:rFonts w:hint="eastAsia"/>
          <w:sz w:val="18"/>
          <w:szCs w:val="18"/>
        </w:rPr>
        <w:drawing>
          <wp:inline distT="0" distB="0" distL="114300" distR="114300">
            <wp:extent cx="3278505" cy="1300480"/>
            <wp:effectExtent l="0" t="0" r="17145" b="13970"/>
            <wp:docPr id="14" name="图片 25"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5" descr="C:\Users\Administrator\Desktop\OT135.jpgOT135"/>
                    <pic:cNvPicPr>
                      <a:picLocks noChangeAspect="1"/>
                    </pic:cNvPicPr>
                  </pic:nvPicPr>
                  <pic:blipFill>
                    <a:blip r:embed="rId21"/>
                    <a:stretch>
                      <a:fillRect/>
                    </a:stretch>
                  </pic:blipFill>
                  <pic:spPr>
                    <a:xfrm>
                      <a:off x="0" y="0"/>
                      <a:ext cx="3278505" cy="1300480"/>
                    </a:xfrm>
                    <a:prstGeom prst="rect">
                      <a:avLst/>
                    </a:prstGeom>
                    <a:noFill/>
                    <a:ln>
                      <a:noFill/>
                    </a:ln>
                  </pic:spPr>
                </pic:pic>
              </a:graphicData>
            </a:graphic>
          </wp:inline>
        </w:drawing>
      </w:r>
    </w:p>
    <w:p w14:paraId="3A7A5200">
      <w:pPr>
        <w:pStyle w:val="9"/>
        <w:pageBreakBefore w:val="0"/>
        <w:kinsoku/>
        <w:wordWrap/>
        <w:overflowPunct/>
        <w:topLinePunct w:val="0"/>
        <w:bidi w:val="0"/>
        <w:ind w:left="0" w:leftChars="0" w:firstLine="0" w:firstLineChars="0"/>
        <w:jc w:val="center"/>
        <w:textAlignment w:val="center"/>
        <w:outlineLvl w:val="9"/>
        <w:rPr>
          <w:rFonts w:hint="eastAsia"/>
          <w:sz w:val="18"/>
          <w:szCs w:val="18"/>
        </w:rPr>
      </w:pPr>
      <w:r>
        <w:rPr>
          <w:rFonts w:hint="eastAsia"/>
          <w:sz w:val="18"/>
          <w:szCs w:val="18"/>
        </w:rPr>
        <w:drawing>
          <wp:inline distT="0" distB="0" distL="114300" distR="114300">
            <wp:extent cx="1746885" cy="1297305"/>
            <wp:effectExtent l="0" t="0" r="5715" b="17145"/>
            <wp:docPr id="13" name="图片 26"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6" descr="C:\Users\Administrator\Desktop\OT135.jpgOT135"/>
                    <pic:cNvPicPr>
                      <a:picLocks noChangeAspect="1"/>
                    </pic:cNvPicPr>
                  </pic:nvPicPr>
                  <pic:blipFill>
                    <a:blip r:embed="rId22"/>
                    <a:stretch>
                      <a:fillRect/>
                    </a:stretch>
                  </pic:blipFill>
                  <pic:spPr>
                    <a:xfrm>
                      <a:off x="0" y="0"/>
                      <a:ext cx="1746885" cy="1297305"/>
                    </a:xfrm>
                    <a:prstGeom prst="rect">
                      <a:avLst/>
                    </a:prstGeom>
                    <a:noFill/>
                    <a:ln>
                      <a:noFill/>
                    </a:ln>
                  </pic:spPr>
                </pic:pic>
              </a:graphicData>
            </a:graphic>
          </wp:inline>
        </w:drawing>
      </w:r>
    </w:p>
    <w:p w14:paraId="17BAE1CC">
      <w:pPr>
        <w:pStyle w:val="9"/>
        <w:pageBreakBefore w:val="0"/>
        <w:numPr>
          <w:ilvl w:val="0"/>
          <w:numId w:val="0"/>
        </w:numPr>
        <w:kinsoku/>
        <w:wordWrap/>
        <w:overflowPunct/>
        <w:topLinePunct w:val="0"/>
        <w:bidi w:val="0"/>
        <w:ind w:leftChars="0"/>
        <w:textAlignment w:val="center"/>
        <w:outlineLvl w:val="9"/>
        <w:rPr>
          <w:rFonts w:hint="default"/>
          <w:sz w:val="19"/>
          <w:szCs w:val="19"/>
          <w:lang w:val="en-US"/>
        </w:rPr>
      </w:pPr>
      <w:r>
        <w:rPr>
          <w:rFonts w:hint="default" w:ascii="Times New Roman" w:hAnsi="微软雅黑" w:eastAsia="微软雅黑" w:cs="微软雅黑"/>
          <w:kern w:val="2"/>
          <w:sz w:val="18"/>
          <w:szCs w:val="18"/>
          <w:lang w:val="en-US" w:eastAsia="zh-CN" w:bidi="ar-SA"/>
        </w:rPr>
        <w:t>5. Self-check: Check the speaker, vibration, and buzzer. Refer to Figure 5-1.</w:t>
      </w:r>
    </w:p>
    <w:p w14:paraId="4AD9155B">
      <w:pPr>
        <w:pageBreakBefore w:val="0"/>
        <w:numPr>
          <w:ilvl w:val="0"/>
          <w:numId w:val="8"/>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Press the left button to quickly navigate to the next item, or right-click "Exit" to return to the menu.</w:t>
      </w:r>
    </w:p>
    <w:p w14:paraId="6E7A0A13">
      <w:pPr>
        <w:pageBreakBefore w:val="0"/>
        <w:numPr>
          <w:ilvl w:val="0"/>
          <w:numId w:val="0"/>
        </w:numPr>
        <w:kinsoku/>
        <w:wordWrap/>
        <w:overflowPunct/>
        <w:topLinePunct w:val="0"/>
        <w:bidi w:val="0"/>
        <w:snapToGrid w:val="0"/>
        <w:spacing w:line="300" w:lineRule="auto"/>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6. Information display: Shows information for each channel. See Figure 6-1</w:t>
      </w:r>
    </w:p>
    <w:p w14:paraId="70975B5A">
      <w:pPr>
        <w:pageBreakBefore w:val="0"/>
        <w:numPr>
          <w:ilvl w:val="0"/>
          <w:numId w:val="0"/>
        </w:numPr>
        <w:kinsoku/>
        <w:wordWrap/>
        <w:overflowPunct/>
        <w:topLinePunct w:val="0"/>
        <w:bidi w:val="0"/>
        <w:snapToGrid w:val="0"/>
        <w:spacing w:line="300" w:lineRule="auto"/>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7. Time setting: Set according to the specified time. See Figure 7-1.</w:t>
      </w:r>
    </w:p>
    <w:p w14:paraId="7E6229D7">
      <w:pPr>
        <w:pageBreakBefore w:val="0"/>
        <w:numPr>
          <w:ilvl w:val="0"/>
          <w:numId w:val="9"/>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Press the middle key "Select" to switch years, months, days, hours, minutes, and seconds. Press the left and right keys "Increase" and "Decrease" to adjust the time.</w:t>
      </w:r>
    </w:p>
    <w:p w14:paraId="31955E0D">
      <w:pPr>
        <w:pageBreakBefore w:val="0"/>
        <w:numPr>
          <w:ilvl w:val="0"/>
          <w:numId w:val="0"/>
        </w:numPr>
        <w:kinsoku/>
        <w:wordWrap/>
        <w:overflowPunct/>
        <w:topLinePunct w:val="0"/>
        <w:bidi w:val="0"/>
        <w:snapToGrid w:val="0"/>
        <w:spacing w:line="300" w:lineRule="auto"/>
        <w:jc w:val="center"/>
        <w:textAlignment w:val="center"/>
        <w:outlineLvl w:val="9"/>
        <w:rPr>
          <w:rFonts w:hint="eastAsia" w:ascii="微软雅黑" w:hAnsi="微软雅黑" w:eastAsia="微软雅黑" w:cs="微软雅黑"/>
          <w:sz w:val="19"/>
          <w:szCs w:val="19"/>
        </w:rPr>
      </w:pPr>
      <w:r>
        <w:rPr>
          <w:sz w:val="19"/>
          <w:szCs w:val="19"/>
        </w:rPr>
        <w:drawing>
          <wp:inline distT="0" distB="0" distL="114300" distR="114300">
            <wp:extent cx="1176655" cy="1548130"/>
            <wp:effectExtent l="0" t="0" r="4445" b="13970"/>
            <wp:docPr id="10" name="图片 27"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7" descr="C:\Users\Administrator\Desktop\OT135.jpgOT135"/>
                    <pic:cNvPicPr>
                      <a:picLocks noChangeAspect="1"/>
                    </pic:cNvPicPr>
                  </pic:nvPicPr>
                  <pic:blipFill>
                    <a:blip r:embed="rId23"/>
                    <a:stretch>
                      <a:fillRect/>
                    </a:stretch>
                  </pic:blipFill>
                  <pic:spPr>
                    <a:xfrm>
                      <a:off x="0" y="0"/>
                      <a:ext cx="1176655" cy="1548130"/>
                    </a:xfrm>
                    <a:prstGeom prst="rect">
                      <a:avLst/>
                    </a:prstGeom>
                    <a:noFill/>
                    <a:ln>
                      <a:noFill/>
                    </a:ln>
                  </pic:spPr>
                </pic:pic>
              </a:graphicData>
            </a:graphic>
          </wp:inline>
        </w:drawing>
      </w:r>
      <w:r>
        <w:rPr>
          <w:rFonts w:hint="eastAsia"/>
          <w:sz w:val="18"/>
          <w:szCs w:val="18"/>
        </w:rPr>
        <w:drawing>
          <wp:inline distT="0" distB="0" distL="114300" distR="114300">
            <wp:extent cx="1118235" cy="1472565"/>
            <wp:effectExtent l="0" t="0" r="5715" b="13335"/>
            <wp:docPr id="12" name="图片 28"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8" descr="C:\Users\Administrator\Desktop\OT135.jpgOT135"/>
                    <pic:cNvPicPr>
                      <a:picLocks noChangeAspect="1"/>
                    </pic:cNvPicPr>
                  </pic:nvPicPr>
                  <pic:blipFill>
                    <a:blip r:embed="rId24"/>
                    <a:stretch>
                      <a:fillRect/>
                    </a:stretch>
                  </pic:blipFill>
                  <pic:spPr>
                    <a:xfrm>
                      <a:off x="0" y="0"/>
                      <a:ext cx="1118235" cy="1472565"/>
                    </a:xfrm>
                    <a:prstGeom prst="rect">
                      <a:avLst/>
                    </a:prstGeom>
                    <a:noFill/>
                    <a:ln>
                      <a:noFill/>
                    </a:ln>
                  </pic:spPr>
                </pic:pic>
              </a:graphicData>
            </a:graphic>
          </wp:inline>
        </w:drawing>
      </w:r>
      <w:r>
        <w:rPr>
          <w:rFonts w:hint="eastAsia"/>
          <w:sz w:val="18"/>
          <w:szCs w:val="18"/>
        </w:rPr>
        <w:drawing>
          <wp:inline distT="0" distB="0" distL="114300" distR="114300">
            <wp:extent cx="1076325" cy="1418590"/>
            <wp:effectExtent l="0" t="0" r="9525" b="10160"/>
            <wp:docPr id="26" name="图片 29"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9" descr="C:\Users\Administrator\Desktop\OT135.jpgOT135"/>
                    <pic:cNvPicPr>
                      <a:picLocks noChangeAspect="1"/>
                    </pic:cNvPicPr>
                  </pic:nvPicPr>
                  <pic:blipFill>
                    <a:blip r:embed="rId25"/>
                    <a:stretch>
                      <a:fillRect/>
                    </a:stretch>
                  </pic:blipFill>
                  <pic:spPr>
                    <a:xfrm>
                      <a:off x="0" y="0"/>
                      <a:ext cx="1076325" cy="1418590"/>
                    </a:xfrm>
                    <a:prstGeom prst="rect">
                      <a:avLst/>
                    </a:prstGeom>
                    <a:noFill/>
                    <a:ln>
                      <a:noFill/>
                    </a:ln>
                  </pic:spPr>
                </pic:pic>
              </a:graphicData>
            </a:graphic>
          </wp:inline>
        </w:drawing>
      </w:r>
    </w:p>
    <w:p w14:paraId="3A567614">
      <w:pPr>
        <w:pageBreakBefore w:val="0"/>
        <w:numPr>
          <w:ilvl w:val="0"/>
          <w:numId w:val="0"/>
        </w:numPr>
        <w:kinsoku/>
        <w:wordWrap/>
        <w:overflowPunct/>
        <w:topLinePunct w:val="0"/>
        <w:bidi w:val="0"/>
        <w:snapToGrid w:val="0"/>
        <w:spacing w:line="300" w:lineRule="auto"/>
        <w:ind w:leftChars="0"/>
        <w:textAlignment w:val="center"/>
        <w:outlineLvl w:val="9"/>
        <w:rPr>
          <w:rFonts w:hint="default"/>
          <w:sz w:val="19"/>
          <w:szCs w:val="19"/>
          <w:lang w:val="en-US"/>
        </w:rPr>
      </w:pPr>
      <w:r>
        <w:rPr>
          <w:rFonts w:hint="default" w:ascii="Times New Roman" w:hAnsi="微软雅黑" w:eastAsia="微软雅黑" w:cs="微软雅黑"/>
          <w:kern w:val="2"/>
          <w:sz w:val="19"/>
          <w:szCs w:val="19"/>
          <w:lang w:val="en-US" w:eastAsia="zh-CN" w:bidi="ar-SA"/>
        </w:rPr>
        <w:t>8. Password reset: Change user password</w:t>
      </w:r>
    </w:p>
    <w:p w14:paraId="6A84D125">
      <w:pPr>
        <w:pageBreakBefore w:val="0"/>
        <w:numPr>
          <w:ilvl w:val="0"/>
          <w:numId w:val="10"/>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First, verify the user's original password. See Figure 8-1</w:t>
      </w:r>
    </w:p>
    <w:p w14:paraId="4D399DE9">
      <w:pPr>
        <w:pageBreakBefore w:val="0"/>
        <w:numPr>
          <w:ilvl w:val="0"/>
          <w:numId w:val="10"/>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After verification, proceed to password modification as shown in Figure 8-2. Use the left/right buttons to adjust the value by pressing "Increase" or "Decrease".</w:t>
      </w:r>
    </w:p>
    <w:p w14:paraId="498B87F2">
      <w:pPr>
        <w:pageBreakBefore w:val="0"/>
        <w:numPr>
          <w:ilvl w:val="0"/>
          <w:numId w:val="10"/>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8"/>
          <w:szCs w:val="18"/>
          <w:lang w:eastAsia="zh-CN"/>
        </w:rPr>
      </w:pPr>
      <w:r>
        <w:rPr>
          <w:rFonts w:hint="default" w:ascii="Times New Roman" w:hAnsi="微软雅黑" w:eastAsia="微软雅黑" w:cs="微软雅黑"/>
          <w:kern w:val="2"/>
          <w:sz w:val="19"/>
          <w:szCs w:val="19"/>
          <w:lang w:val="en-US" w:eastAsia="zh-CN" w:bidi="ar-SA"/>
        </w:rPr>
        <w:t>After entering and confirming the password, you will be prompted to save it. Left-click "Yes" to save the password and complete the modification. Return to the menu item and right-click "No" to cancel saving and return to the menu.</w:t>
      </w:r>
    </w:p>
    <w:p w14:paraId="600A3394">
      <w:pPr>
        <w:pageBreakBefore w:val="0"/>
        <w:kinsoku/>
        <w:wordWrap/>
        <w:overflowPunct/>
        <w:topLinePunct w:val="0"/>
        <w:bidi w:val="0"/>
        <w:snapToGrid w:val="0"/>
        <w:spacing w:line="300" w:lineRule="auto"/>
        <w:jc w:val="center"/>
        <w:textAlignment w:val="center"/>
        <w:outlineLvl w:val="9"/>
        <w:rPr>
          <w:rFonts w:hint="eastAsia" w:ascii="微软雅黑" w:hAnsi="微软雅黑" w:eastAsia="微软雅黑" w:cs="微软雅黑"/>
          <w:color w:val="000000"/>
          <w:sz w:val="19"/>
          <w:szCs w:val="19"/>
        </w:rPr>
      </w:pPr>
      <w:r>
        <w:rPr>
          <w:rFonts w:hint="eastAsia"/>
          <w:sz w:val="19"/>
          <w:szCs w:val="19"/>
        </w:rPr>
        <w:drawing>
          <wp:inline distT="0" distB="0" distL="114300" distR="114300">
            <wp:extent cx="2835910" cy="1409065"/>
            <wp:effectExtent l="0" t="0" r="2540" b="635"/>
            <wp:docPr id="27" name="图片 30"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0" descr="C:\Users\Administrator\Desktop\OT135.jpgOT135"/>
                    <pic:cNvPicPr>
                      <a:picLocks noChangeAspect="1"/>
                    </pic:cNvPicPr>
                  </pic:nvPicPr>
                  <pic:blipFill>
                    <a:blip r:embed="rId26"/>
                    <a:stretch>
                      <a:fillRect/>
                    </a:stretch>
                  </pic:blipFill>
                  <pic:spPr>
                    <a:xfrm>
                      <a:off x="0" y="0"/>
                      <a:ext cx="2835910" cy="1409065"/>
                    </a:xfrm>
                    <a:prstGeom prst="rect">
                      <a:avLst/>
                    </a:prstGeom>
                    <a:noFill/>
                    <a:ln>
                      <a:noFill/>
                    </a:ln>
                  </pic:spPr>
                </pic:pic>
              </a:graphicData>
            </a:graphic>
          </wp:inline>
        </w:drawing>
      </w:r>
    </w:p>
    <w:p w14:paraId="74E7D287">
      <w:pPr>
        <w:pageBreakBefore w:val="0"/>
        <w:numPr>
          <w:ilvl w:val="0"/>
          <w:numId w:val="0"/>
        </w:numPr>
        <w:kinsoku/>
        <w:wordWrap/>
        <w:overflowPunct/>
        <w:topLinePunct w:val="0"/>
        <w:bidi w:val="0"/>
        <w:snapToGrid w:val="0"/>
        <w:spacing w:line="300" w:lineRule="auto"/>
        <w:ind w:leftChars="0"/>
        <w:textAlignment w:val="center"/>
        <w:outlineLvl w:val="9"/>
        <w:rPr>
          <w:rFonts w:hint="default" w:ascii="微软雅黑" w:hAnsi="微软雅黑" w:eastAsia="微软雅黑" w:cs="微软雅黑"/>
          <w:sz w:val="19"/>
          <w:szCs w:val="19"/>
          <w:lang w:val="en-US"/>
        </w:rPr>
      </w:pPr>
      <w:r>
        <w:rPr>
          <w:rFonts w:hint="default" w:ascii="Times New Roman" w:hAnsi="微软雅黑" w:eastAsia="微软雅黑" w:cs="微软雅黑"/>
          <w:kern w:val="2"/>
          <w:sz w:val="19"/>
          <w:szCs w:val="19"/>
          <w:lang w:val="en-US" w:eastAsia="zh-CN" w:bidi="ar-SA"/>
        </w:rPr>
        <w:t>9. Restore factory settings: Reset data to factory defaults.</w:t>
      </w:r>
    </w:p>
    <w:p w14:paraId="2B2A5EA4">
      <w:pPr>
        <w:pageBreakBefore w:val="0"/>
        <w:numPr>
          <w:ilvl w:val="0"/>
          <w:numId w:val="11"/>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Verify the user password first.</w:t>
      </w:r>
    </w:p>
    <w:p w14:paraId="5FBA9E18">
      <w:pPr>
        <w:pageBreakBefore w:val="0"/>
        <w:numPr>
          <w:ilvl w:val="0"/>
          <w:numId w:val="11"/>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Prompt whether to restore. See Figure 9-1</w:t>
      </w:r>
    </w:p>
    <w:p w14:paraId="26607C51">
      <w:pPr>
        <w:pageBreakBefore w:val="0"/>
        <w:numPr>
          <w:ilvl w:val="0"/>
          <w:numId w:val="11"/>
        </w:numPr>
        <w:kinsoku/>
        <w:wordWrap/>
        <w:overflowPunct/>
        <w:topLinePunct w:val="0"/>
        <w:bidi w:val="0"/>
        <w:snapToGrid w:val="0"/>
        <w:spacing w:line="300" w:lineRule="auto"/>
        <w:ind w:left="0" w:leftChars="0" w:firstLine="0" w:firstLineChars="0"/>
        <w:textAlignment w:val="center"/>
        <w:outlineLvl w:val="9"/>
        <w:rPr>
          <w:rFonts w:hint="eastAsia" w:ascii="微软雅黑" w:hAnsi="微软雅黑" w:eastAsia="微软雅黑" w:cs="微软雅黑"/>
          <w:sz w:val="19"/>
          <w:szCs w:val="19"/>
        </w:rPr>
      </w:pPr>
      <w:r>
        <w:rPr>
          <w:rFonts w:hint="default" w:ascii="Times New Roman" w:hAnsi="微软雅黑" w:eastAsia="微软雅黑" w:cs="微软雅黑"/>
          <w:kern w:val="2"/>
          <w:sz w:val="19"/>
          <w:szCs w:val="19"/>
          <w:lang w:val="en-US" w:eastAsia="zh-CN" w:bidi="ar-SA"/>
        </w:rPr>
        <w:t>Click Yes with the left mouse button to start recovery. See Figure 9-2. After recovery, return to the menu.</w:t>
      </w:r>
    </w:p>
    <w:p w14:paraId="221E1BE7">
      <w:pPr>
        <w:pageBreakBefore w:val="0"/>
        <w:numPr>
          <w:ilvl w:val="0"/>
          <w:numId w:val="0"/>
        </w:numPr>
        <w:kinsoku/>
        <w:wordWrap/>
        <w:overflowPunct/>
        <w:topLinePunct w:val="0"/>
        <w:bidi w:val="0"/>
        <w:snapToGrid w:val="0"/>
        <w:spacing w:line="300" w:lineRule="auto"/>
        <w:ind w:leftChars="100"/>
        <w:jc w:val="center"/>
        <w:textAlignment w:val="center"/>
        <w:outlineLvl w:val="9"/>
        <w:rPr>
          <w:rFonts w:hint="eastAsia" w:ascii="微软雅黑" w:hAnsi="微软雅黑" w:eastAsia="微软雅黑" w:cs="微软雅黑"/>
          <w:sz w:val="19"/>
          <w:szCs w:val="19"/>
          <w:lang w:eastAsia="zh-CN"/>
        </w:rPr>
      </w:pPr>
      <w:r>
        <w:rPr>
          <w:rFonts w:hint="eastAsia"/>
          <w:sz w:val="18"/>
          <w:szCs w:val="18"/>
        </w:rPr>
        <w:drawing>
          <wp:inline distT="0" distB="0" distL="114300" distR="114300">
            <wp:extent cx="1889125" cy="1403350"/>
            <wp:effectExtent l="0" t="0" r="15875" b="6350"/>
            <wp:docPr id="28" name="图片 31" descr="C:\Users\Administrator\Desktop\OT135.jpgOT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1" descr="C:\Users\Administrator\Desktop\OT135.jpgOT135"/>
                    <pic:cNvPicPr>
                      <a:picLocks noChangeAspect="1"/>
                    </pic:cNvPicPr>
                  </pic:nvPicPr>
                  <pic:blipFill>
                    <a:blip r:embed="rId27"/>
                    <a:stretch>
                      <a:fillRect/>
                    </a:stretch>
                  </pic:blipFill>
                  <pic:spPr>
                    <a:xfrm>
                      <a:off x="0" y="0"/>
                      <a:ext cx="1889125" cy="1403350"/>
                    </a:xfrm>
                    <a:prstGeom prst="rect">
                      <a:avLst/>
                    </a:prstGeom>
                    <a:noFill/>
                    <a:ln>
                      <a:noFill/>
                    </a:ln>
                  </pic:spPr>
                </pic:pic>
              </a:graphicData>
            </a:graphic>
          </wp:inline>
        </w:drawing>
      </w:r>
    </w:p>
    <w:p w14:paraId="46AB82F7">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eastAsia" w:ascii="微软雅黑" w:hAnsi="微软雅黑" w:eastAsia="微软雅黑" w:cs="微软雅黑"/>
          <w:b/>
          <w:color w:val="000000"/>
          <w:sz w:val="20"/>
          <w:szCs w:val="20"/>
          <w:lang w:val="en-US" w:eastAsia="zh-CN"/>
        </w:rPr>
      </w:pPr>
      <w:bookmarkStart w:id="12" w:name="_Toc21043"/>
      <w:r>
        <w:rPr>
          <w:rFonts w:hint="default" w:ascii="Times New Roman" w:hAnsi="微软雅黑" w:eastAsia="微软雅黑" w:cs="微软雅黑"/>
          <w:b/>
          <w:color w:val="000000"/>
          <w:kern w:val="2"/>
          <w:sz w:val="20"/>
          <w:szCs w:val="20"/>
          <w:lang w:val="en-US" w:eastAsia="zh-CN" w:bidi="ar-SA"/>
        </w:rPr>
        <w:t>V. Precautions for Use</w:t>
      </w:r>
      <w:bookmarkEnd w:id="12"/>
    </w:p>
    <w:p w14:paraId="26989BB5">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(1) Prevent the device from falling from a height or experiencing severe vibration.</w:t>
      </w:r>
    </w:p>
    <w:p w14:paraId="71D25230">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(2) The device may not function properly in the presence of high-concentration gases.</w:t>
      </w:r>
    </w:p>
    <w:p w14:paraId="5079A4EC">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(3) Please strictly follow the instructions for operation and use; otherwise, it may lead to inaccurate test results or damage to the device.</w:t>
      </w:r>
    </w:p>
    <w:p w14:paraId="4A99E877">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(4) This product shall not be stored or used in environments containing corrosive gases (such as high concentrations of chlorine gas), nor shall it be used or stored under other harsh conditions (including extreme temperatures, high humidity, electromagnetic fields, or intense sunlight).</w:t>
      </w:r>
    </w:p>
    <w:p w14:paraId="13B089DD">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(5) If the surface of this device becomes contaminated after prolonged use, gently wipe it with a clean soft cloth dampened with water. Avoid using corrosive solvents or hard objects for cleaning, as this may cause scratches or damage to the device surface.</w:t>
      </w:r>
    </w:p>
    <w:p w14:paraId="3000715D">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(6) To ensure detection accuracy, this device shall undergo periodic calibration, with the verification cycle not exceeding one year.</w:t>
      </w:r>
    </w:p>
    <w:p w14:paraId="10168095">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(7) It is recommended that infrared sensors and semiconductor sensors have a service life of 5 years, while catalytic combustion sensors and electrochemical sensors have a service life of 2 years.</w:t>
      </w:r>
    </w:p>
    <w:p w14:paraId="7F83C116">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(8) Please remove the lithium battery and sensors from the discarded detector and deliver them to the designated location or return them to our company. Do not dispose of them in trash bins indiscriminately.</w:t>
      </w:r>
    </w:p>
    <w:p w14:paraId="147389FE">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(9) For any applications or usage issues beyond those described in this manual, please contact our company for assistance.</w:t>
      </w:r>
    </w:p>
    <w:p w14:paraId="5585626F">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(10) Battery packs must not be disassembled or replaced, nor charged in explosive gas environments. Peripheral plug-in devices without explosion-proof certification must not be used, and sensors must not be replaced in such environments.</w:t>
      </w:r>
    </w:p>
    <w:p w14:paraId="6A5943F6">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(11) Products with explosion-proof certification shall not be arbitrarily replaced or modified with components or structures that affect their explosion-proof performance.</w:t>
      </w:r>
    </w:p>
    <w:p w14:paraId="2A5F7FDD">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val="en-US" w:eastAsia="zh-CN"/>
        </w:rPr>
      </w:pPr>
      <w:r>
        <w:rPr>
          <w:rFonts w:hint="default" w:ascii="Times New Roman" w:hAnsi="微软雅黑" w:eastAsia="微软雅黑" w:cs="微软雅黑"/>
          <w:color w:val="000000"/>
          <w:kern w:val="2"/>
          <w:sz w:val="18"/>
          <w:szCs w:val="18"/>
          <w:lang w:val="en-US" w:eastAsia="zh-CN" w:bidi="ar-SA"/>
        </w:rPr>
        <w:t>(12) Relevant national standards contain explicit regulations on the selection, installation, or use of electrical equipment in explosion-hazardous environments. Installation or user entities must strictly comply with these provisions to ensure explosion-proof safety of electrical equipment in such areas.</w:t>
      </w:r>
    </w:p>
    <w:p w14:paraId="2A0B18CD">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lang w:eastAsia="zh-CN"/>
        </w:rPr>
      </w:pPr>
      <w:r>
        <w:rPr>
          <w:rFonts w:hint="default" w:ascii="Times New Roman" w:hAnsi="微软雅黑" w:eastAsia="微软雅黑" w:cs="微软雅黑"/>
          <w:color w:val="000000"/>
          <w:kern w:val="2"/>
          <w:sz w:val="18"/>
          <w:szCs w:val="18"/>
          <w:lang w:val="en-US" w:eastAsia="zh-CN" w:bidi="ar-SA"/>
        </w:rPr>
        <w:t>(13) Charging must be performed in a safe location and using the professional charger provided with this device.</w:t>
      </w:r>
    </w:p>
    <w:p w14:paraId="26B03B98">
      <w:pPr>
        <w:pageBreakBefore w:val="0"/>
        <w:tabs>
          <w:tab w:val="left" w:pos="540"/>
        </w:tabs>
        <w:kinsoku/>
        <w:wordWrap/>
        <w:overflowPunct/>
        <w:topLinePunct w:val="0"/>
        <w:bidi w:val="0"/>
        <w:textAlignment w:val="center"/>
        <w:outlineLvl w:val="9"/>
        <w:rPr>
          <w:rFonts w:hint="eastAsia" w:ascii="微软雅黑" w:hAnsi="微软雅黑" w:eastAsia="微软雅黑" w:cs="微软雅黑"/>
          <w:color w:val="000000"/>
          <w:sz w:val="18"/>
          <w:szCs w:val="18"/>
          <w:highlight w:val="yellow"/>
          <w:lang w:val="en-US" w:eastAsia="zh-CN"/>
        </w:rPr>
      </w:pPr>
      <w:r>
        <w:rPr>
          <w:rFonts w:hint="default" w:ascii="Times New Roman" w:hAnsi="微软雅黑" w:eastAsia="微软雅黑" w:cs="微软雅黑"/>
          <w:color w:val="000000"/>
          <w:kern w:val="2"/>
          <w:sz w:val="18"/>
          <w:szCs w:val="18"/>
          <w:highlight w:val="yellow"/>
          <w:lang w:val="en-US" w:eastAsia="zh-CN" w:bidi="ar-SA"/>
        </w:rPr>
        <w:t>(14) If the suction force of the built-in pump suction sampling pump is insufficient, loosen the sampling air intake cover at the top of the product and inspect the internal filter screen. When the filter screen is dirty, clean or replace it promptly, then re-tighten the air intake cover after completion. Figures 5-1 and 5-2 respectively show comparative images of clean and dust-accumulated filter screens.</w:t>
      </w:r>
    </w:p>
    <w:p w14:paraId="106D1AB0">
      <w:pPr>
        <w:pageBreakBefore w:val="0"/>
        <w:tabs>
          <w:tab w:val="left" w:pos="540"/>
        </w:tabs>
        <w:kinsoku/>
        <w:wordWrap/>
        <w:overflowPunct/>
        <w:topLinePunct w:val="0"/>
        <w:bidi w:val="0"/>
        <w:jc w:val="center"/>
        <w:textAlignment w:val="center"/>
        <w:outlineLvl w:val="9"/>
        <w:rPr>
          <w:rFonts w:hint="default" w:ascii="微软雅黑" w:hAnsi="微软雅黑" w:eastAsia="微软雅黑" w:cs="微软雅黑"/>
          <w:color w:val="000000"/>
          <w:sz w:val="18"/>
          <w:szCs w:val="18"/>
          <w:highlight w:val="yellow"/>
          <w:lang w:val="en-US" w:eastAsia="zh-CN"/>
        </w:rPr>
      </w:pPr>
      <w:r>
        <w:rPr>
          <w:rFonts w:hint="default" w:ascii="微软雅黑" w:hAnsi="微软雅黑" w:eastAsia="微软雅黑" w:cs="微软雅黑"/>
          <w:color w:val="000000"/>
          <w:sz w:val="18"/>
          <w:szCs w:val="18"/>
          <w:highlight w:val="yellow"/>
          <w:lang w:val="en-US" w:eastAsia="zh-CN"/>
        </w:rPr>
        <w:drawing>
          <wp:inline distT="0" distB="0" distL="114300" distR="114300">
            <wp:extent cx="1164590" cy="1155700"/>
            <wp:effectExtent l="0" t="0" r="3810" b="12700"/>
            <wp:docPr id="17" name="图片 17" descr="92629f48620f01886fa926bae72e855c_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92629f48620f01886fa926bae72e855c_origin(1)"/>
                    <pic:cNvPicPr>
                      <a:picLocks noChangeAspect="1"/>
                    </pic:cNvPicPr>
                  </pic:nvPicPr>
                  <pic:blipFill>
                    <a:blip r:embed="rId28"/>
                    <a:stretch>
                      <a:fillRect/>
                    </a:stretch>
                  </pic:blipFill>
                  <pic:spPr>
                    <a:xfrm>
                      <a:off x="0" y="0"/>
                      <a:ext cx="1164590" cy="1155700"/>
                    </a:xfrm>
                    <a:prstGeom prst="rect">
                      <a:avLst/>
                    </a:prstGeom>
                  </pic:spPr>
                </pic:pic>
              </a:graphicData>
            </a:graphic>
          </wp:inline>
        </w:drawing>
      </w:r>
      <w:r>
        <w:rPr>
          <w:rFonts w:hint="default" w:ascii="Times New Roman" w:hAnsi="微软雅黑" w:eastAsia="微软雅黑" w:cs="微软雅黑"/>
          <w:color w:val="000000"/>
          <w:kern w:val="2"/>
          <w:sz w:val="18"/>
          <w:szCs w:val="18"/>
          <w:highlight w:val="yellow"/>
          <w:lang w:val="en-US" w:eastAsia="zh-CN" w:bidi="ar-SA"/>
        </w:rPr>
        <w:t xml:space="preserve">            </w:t>
      </w:r>
      <w:r>
        <w:rPr>
          <w:rFonts w:hint="default" w:ascii="微软雅黑" w:hAnsi="微软雅黑" w:eastAsia="微软雅黑" w:cs="微软雅黑"/>
          <w:color w:val="000000"/>
          <w:sz w:val="18"/>
          <w:szCs w:val="18"/>
          <w:highlight w:val="yellow"/>
          <w:lang w:val="en-US" w:eastAsia="zh-CN"/>
        </w:rPr>
        <w:drawing>
          <wp:inline distT="0" distB="0" distL="114300" distR="114300">
            <wp:extent cx="1151890" cy="1155700"/>
            <wp:effectExtent l="0" t="0" r="16510" b="12700"/>
            <wp:docPr id="16" name="图片 16" descr="积灰滤网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积灰滤网片"/>
                    <pic:cNvPicPr>
                      <a:picLocks noChangeAspect="1"/>
                    </pic:cNvPicPr>
                  </pic:nvPicPr>
                  <pic:blipFill>
                    <a:blip r:embed="rId29"/>
                    <a:stretch>
                      <a:fillRect/>
                    </a:stretch>
                  </pic:blipFill>
                  <pic:spPr>
                    <a:xfrm>
                      <a:off x="0" y="0"/>
                      <a:ext cx="1151890" cy="1155700"/>
                    </a:xfrm>
                    <a:prstGeom prst="rect">
                      <a:avLst/>
                    </a:prstGeom>
                  </pic:spPr>
                </pic:pic>
              </a:graphicData>
            </a:graphic>
          </wp:inline>
        </w:drawing>
      </w:r>
    </w:p>
    <w:p w14:paraId="2C010188">
      <w:pPr>
        <w:pageBreakBefore w:val="0"/>
        <w:tabs>
          <w:tab w:val="left" w:pos="540"/>
        </w:tabs>
        <w:kinsoku/>
        <w:wordWrap/>
        <w:overflowPunct/>
        <w:topLinePunct w:val="0"/>
        <w:bidi w:val="0"/>
        <w:jc w:val="center"/>
        <w:textAlignment w:val="center"/>
        <w:outlineLvl w:val="9"/>
        <w:rPr>
          <w:rFonts w:hint="default" w:ascii="微软雅黑" w:hAnsi="微软雅黑" w:eastAsia="微软雅黑" w:cs="微软雅黑"/>
          <w:color w:val="000000"/>
          <w:sz w:val="18"/>
          <w:szCs w:val="18"/>
          <w:highlight w:val="yellow"/>
          <w:lang w:val="en-US" w:eastAsia="zh-CN"/>
        </w:rPr>
      </w:pPr>
      <w:r>
        <w:rPr>
          <w:rFonts w:hint="default" w:ascii="Times New Roman" w:hAnsi="微软雅黑" w:eastAsia="微软雅黑" w:cs="微软雅黑"/>
          <w:color w:val="000000"/>
          <w:kern w:val="2"/>
          <w:sz w:val="18"/>
          <w:szCs w:val="18"/>
          <w:highlight w:val="yellow"/>
          <w:lang w:val="en-US" w:eastAsia="zh-CN" w:bidi="ar-SA"/>
        </w:rPr>
        <w:t>Figure 5-1 Figure 5-2                         Figure 5-1 Figure 5-2</w:t>
      </w:r>
    </w:p>
    <w:p w14:paraId="3E0B9745">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eastAsia" w:ascii="微软雅黑" w:hAnsi="微软雅黑" w:eastAsia="微软雅黑" w:cs="微软雅黑"/>
          <w:b/>
          <w:color w:val="000000"/>
          <w:sz w:val="20"/>
          <w:szCs w:val="20"/>
          <w:lang w:val="en-US" w:eastAsia="zh-CN"/>
        </w:rPr>
      </w:pPr>
      <w:bookmarkStart w:id="13" w:name="_Toc7387"/>
      <w:r>
        <w:rPr>
          <w:rFonts w:hint="default" w:ascii="Times New Roman" w:hAnsi="微软雅黑" w:eastAsia="微软雅黑" w:cs="微软雅黑"/>
          <w:b/>
          <w:color w:val="000000"/>
          <w:kern w:val="2"/>
          <w:sz w:val="20"/>
          <w:szCs w:val="20"/>
          <w:lang w:val="en-US" w:eastAsia="zh-CN" w:bidi="ar-SA"/>
        </w:rPr>
        <w:t>VI. Common Faults and Their Solutions</w:t>
      </w:r>
      <w:bookmarkEnd w:id="13"/>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5"/>
        <w:gridCol w:w="1667"/>
        <w:gridCol w:w="2998"/>
      </w:tblGrid>
      <w:tr w14:paraId="7834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noWrap w:val="0"/>
            <w:vAlign w:val="center"/>
          </w:tcPr>
          <w:p w14:paraId="6E71C683">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fault phenomenon</w:t>
            </w:r>
          </w:p>
        </w:tc>
        <w:tc>
          <w:tcPr>
            <w:tcW w:w="1667" w:type="dxa"/>
            <w:noWrap w:val="0"/>
            <w:vAlign w:val="center"/>
          </w:tcPr>
          <w:p w14:paraId="66861E2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Possible cause of failure</w:t>
            </w:r>
          </w:p>
        </w:tc>
        <w:tc>
          <w:tcPr>
            <w:tcW w:w="2998" w:type="dxa"/>
            <w:noWrap w:val="0"/>
            <w:vAlign w:val="center"/>
          </w:tcPr>
          <w:p w14:paraId="360887E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process mode</w:t>
            </w:r>
          </w:p>
        </w:tc>
      </w:tr>
      <w:tr w14:paraId="43DAF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restart"/>
            <w:noWrap w:val="0"/>
            <w:vAlign w:val="center"/>
          </w:tcPr>
          <w:p w14:paraId="6F158F93">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Cannot boot</w:t>
            </w:r>
          </w:p>
        </w:tc>
        <w:tc>
          <w:tcPr>
            <w:tcW w:w="1667" w:type="dxa"/>
            <w:noWrap w:val="0"/>
            <w:vAlign w:val="center"/>
          </w:tcPr>
          <w:p w14:paraId="77ACA667">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voltage below level</w:t>
            </w:r>
          </w:p>
        </w:tc>
        <w:tc>
          <w:tcPr>
            <w:tcW w:w="2998" w:type="dxa"/>
            <w:noWrap w:val="0"/>
            <w:vAlign w:val="center"/>
          </w:tcPr>
          <w:p w14:paraId="1F2EFC0F">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Charge your device promptly</w:t>
            </w:r>
          </w:p>
        </w:tc>
      </w:tr>
      <w:tr w14:paraId="68DB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continue"/>
            <w:noWrap w:val="0"/>
            <w:vAlign w:val="top"/>
          </w:tcPr>
          <w:p w14:paraId="7CA211E7">
            <w:pPr>
              <w:pageBreakBefore w:val="0"/>
              <w:kinsoku/>
              <w:wordWrap/>
              <w:overflowPunct/>
              <w:topLinePunct w:val="0"/>
              <w:bidi w:val="0"/>
              <w:textAlignment w:val="center"/>
              <w:outlineLvl w:val="9"/>
              <w:rPr>
                <w:rFonts w:hint="eastAsia" w:ascii="微软雅黑" w:hAnsi="微软雅黑" w:eastAsia="微软雅黑" w:cs="微软雅黑"/>
                <w:sz w:val="18"/>
                <w:szCs w:val="18"/>
              </w:rPr>
            </w:pPr>
          </w:p>
        </w:tc>
        <w:tc>
          <w:tcPr>
            <w:tcW w:w="1667" w:type="dxa"/>
            <w:noWrap w:val="0"/>
            <w:vAlign w:val="center"/>
          </w:tcPr>
          <w:p w14:paraId="15B9B34D">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system halted</w:t>
            </w:r>
          </w:p>
        </w:tc>
        <w:tc>
          <w:tcPr>
            <w:tcW w:w="2998" w:type="dxa"/>
            <w:noWrap w:val="0"/>
            <w:vAlign w:val="center"/>
          </w:tcPr>
          <w:p w14:paraId="2466C98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Contact the dealer or manufacturer for repair</w:t>
            </w:r>
          </w:p>
        </w:tc>
      </w:tr>
      <w:tr w14:paraId="69872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continue"/>
            <w:noWrap w:val="0"/>
            <w:vAlign w:val="top"/>
          </w:tcPr>
          <w:p w14:paraId="29315B40">
            <w:pPr>
              <w:pageBreakBefore w:val="0"/>
              <w:kinsoku/>
              <w:wordWrap/>
              <w:overflowPunct/>
              <w:topLinePunct w:val="0"/>
              <w:bidi w:val="0"/>
              <w:textAlignment w:val="center"/>
              <w:outlineLvl w:val="9"/>
              <w:rPr>
                <w:rFonts w:hint="eastAsia" w:ascii="微软雅黑" w:hAnsi="微软雅黑" w:eastAsia="微软雅黑" w:cs="微软雅黑"/>
                <w:sz w:val="18"/>
                <w:szCs w:val="18"/>
              </w:rPr>
            </w:pPr>
          </w:p>
        </w:tc>
        <w:tc>
          <w:tcPr>
            <w:tcW w:w="1667" w:type="dxa"/>
            <w:noWrap w:val="0"/>
            <w:vAlign w:val="center"/>
          </w:tcPr>
          <w:p w14:paraId="3279F4D4">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fault</w:t>
            </w:r>
          </w:p>
        </w:tc>
        <w:tc>
          <w:tcPr>
            <w:tcW w:w="2998" w:type="dxa"/>
            <w:noWrap w:val="0"/>
            <w:vAlign w:val="center"/>
          </w:tcPr>
          <w:p w14:paraId="4F8D5EDF">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Contact the dealer or manufacturer for repair</w:t>
            </w:r>
          </w:p>
        </w:tc>
      </w:tr>
      <w:tr w14:paraId="0DBE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15" w:type="dxa"/>
            <w:noWrap w:val="0"/>
            <w:vAlign w:val="center"/>
          </w:tcPr>
          <w:p w14:paraId="1FFFB767">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No reaction to the detected gas</w:t>
            </w:r>
          </w:p>
        </w:tc>
        <w:tc>
          <w:tcPr>
            <w:tcW w:w="1667" w:type="dxa"/>
            <w:noWrap w:val="0"/>
            <w:vAlign w:val="center"/>
          </w:tcPr>
          <w:p w14:paraId="5C95DB76">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Circuit failure or sensor lifespan expired</w:t>
            </w:r>
          </w:p>
        </w:tc>
        <w:tc>
          <w:tcPr>
            <w:tcW w:w="2998" w:type="dxa"/>
            <w:noWrap w:val="0"/>
            <w:vAlign w:val="center"/>
          </w:tcPr>
          <w:p w14:paraId="38014DB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Contact the dealer or manufacturer for repair</w:t>
            </w:r>
          </w:p>
        </w:tc>
      </w:tr>
      <w:tr w14:paraId="2B416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restart"/>
            <w:noWrap w:val="0"/>
            <w:vAlign w:val="center"/>
          </w:tcPr>
          <w:p w14:paraId="17CF60BF">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Display is inaccurate</w:t>
            </w:r>
          </w:p>
        </w:tc>
        <w:tc>
          <w:tcPr>
            <w:tcW w:w="1667" w:type="dxa"/>
            <w:noWrap w:val="0"/>
            <w:vAlign w:val="center"/>
          </w:tcPr>
          <w:p w14:paraId="7AF43127">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Sensor expired</w:t>
            </w:r>
          </w:p>
        </w:tc>
        <w:tc>
          <w:tcPr>
            <w:tcW w:w="2998" w:type="dxa"/>
            <w:noWrap w:val="0"/>
            <w:vAlign w:val="center"/>
          </w:tcPr>
          <w:p w14:paraId="5426AED6">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Contact the dealer or manufacturer to replace the sensor.</w:t>
            </w:r>
          </w:p>
        </w:tc>
      </w:tr>
      <w:tr w14:paraId="025D8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continue"/>
            <w:noWrap w:val="0"/>
            <w:vAlign w:val="top"/>
          </w:tcPr>
          <w:p w14:paraId="59F144BD">
            <w:pPr>
              <w:pageBreakBefore w:val="0"/>
              <w:kinsoku/>
              <w:wordWrap/>
              <w:overflowPunct/>
              <w:topLinePunct w:val="0"/>
              <w:bidi w:val="0"/>
              <w:jc w:val="center"/>
              <w:textAlignment w:val="center"/>
              <w:outlineLvl w:val="9"/>
              <w:rPr>
                <w:rFonts w:hint="eastAsia" w:ascii="微软雅黑" w:hAnsi="微软雅黑" w:eastAsia="微软雅黑" w:cs="微软雅黑"/>
                <w:color w:val="000000"/>
                <w:sz w:val="18"/>
                <w:szCs w:val="18"/>
              </w:rPr>
            </w:pPr>
          </w:p>
        </w:tc>
        <w:tc>
          <w:tcPr>
            <w:tcW w:w="1667" w:type="dxa"/>
            <w:noWrap w:val="0"/>
            <w:vAlign w:val="center"/>
          </w:tcPr>
          <w:p w14:paraId="0730396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Long-term uncalibrated</w:t>
            </w:r>
          </w:p>
        </w:tc>
        <w:tc>
          <w:tcPr>
            <w:tcW w:w="2998" w:type="dxa"/>
            <w:noWrap w:val="0"/>
            <w:vAlign w:val="center"/>
          </w:tcPr>
          <w:p w14:paraId="74A3D5DA">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Calibrate promptly</w:t>
            </w:r>
          </w:p>
        </w:tc>
      </w:tr>
      <w:tr w14:paraId="57C5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restart"/>
            <w:noWrap w:val="0"/>
            <w:vAlign w:val="center"/>
          </w:tcPr>
          <w:p w14:paraId="473F82D3">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Time display error</w:t>
            </w:r>
          </w:p>
        </w:tc>
        <w:tc>
          <w:tcPr>
            <w:tcW w:w="1667" w:type="dxa"/>
            <w:noWrap w:val="0"/>
            <w:vAlign w:val="center"/>
          </w:tcPr>
          <w:p w14:paraId="1BBF3DDA">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The battery is completely drained</w:t>
            </w:r>
          </w:p>
        </w:tc>
        <w:tc>
          <w:tcPr>
            <w:tcW w:w="2998" w:type="dxa"/>
            <w:noWrap w:val="0"/>
            <w:vAlign w:val="center"/>
          </w:tcPr>
          <w:p w14:paraId="15803859">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Charge promptly and reset the time</w:t>
            </w:r>
          </w:p>
        </w:tc>
      </w:tr>
      <w:tr w14:paraId="6A549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vMerge w:val="continue"/>
            <w:noWrap w:val="0"/>
            <w:vAlign w:val="center"/>
          </w:tcPr>
          <w:p w14:paraId="6E831407">
            <w:pPr>
              <w:pageBreakBefore w:val="0"/>
              <w:kinsoku/>
              <w:wordWrap/>
              <w:overflowPunct/>
              <w:topLinePunct w:val="0"/>
              <w:bidi w:val="0"/>
              <w:jc w:val="center"/>
              <w:textAlignment w:val="center"/>
              <w:outlineLvl w:val="9"/>
              <w:rPr>
                <w:rFonts w:hint="eastAsia" w:ascii="微软雅黑" w:hAnsi="微软雅黑" w:eastAsia="微软雅黑" w:cs="微软雅黑"/>
                <w:color w:val="000000"/>
                <w:sz w:val="18"/>
                <w:szCs w:val="18"/>
              </w:rPr>
            </w:pPr>
          </w:p>
        </w:tc>
        <w:tc>
          <w:tcPr>
            <w:tcW w:w="1667" w:type="dxa"/>
            <w:noWrap w:val="0"/>
            <w:vAlign w:val="center"/>
          </w:tcPr>
          <w:p w14:paraId="3D2F2FD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strong electromagnetic interference</w:t>
            </w:r>
          </w:p>
        </w:tc>
        <w:tc>
          <w:tcPr>
            <w:tcW w:w="2998" w:type="dxa"/>
            <w:noWrap w:val="0"/>
            <w:vAlign w:val="center"/>
          </w:tcPr>
          <w:p w14:paraId="5D636BEB">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Reset time</w:t>
            </w:r>
          </w:p>
        </w:tc>
      </w:tr>
      <w:tr w14:paraId="3C82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15" w:type="dxa"/>
            <w:noWrap w:val="0"/>
            <w:vAlign w:val="center"/>
          </w:tcPr>
          <w:p w14:paraId="0E95710E">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Zero calibration is unavailable</w:t>
            </w:r>
          </w:p>
        </w:tc>
        <w:tc>
          <w:tcPr>
            <w:tcW w:w="1667" w:type="dxa"/>
            <w:noWrap w:val="0"/>
            <w:vAlign w:val="center"/>
          </w:tcPr>
          <w:p w14:paraId="5DBBB00D">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Excessive sensor drift</w:t>
            </w:r>
          </w:p>
        </w:tc>
        <w:tc>
          <w:tcPr>
            <w:tcW w:w="2998" w:type="dxa"/>
            <w:noWrap w:val="0"/>
            <w:vAlign w:val="center"/>
          </w:tcPr>
          <w:p w14:paraId="1320B068">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Calibrate or replace the sensor promptly</w:t>
            </w:r>
          </w:p>
        </w:tc>
      </w:tr>
      <w:tr w14:paraId="0F94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15" w:type="dxa"/>
            <w:noWrap w:val="0"/>
            <w:vAlign w:val="center"/>
          </w:tcPr>
          <w:p w14:paraId="0C54C834">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Display non-zero values in clean air environments</w:t>
            </w:r>
          </w:p>
        </w:tc>
        <w:tc>
          <w:tcPr>
            <w:tcW w:w="1667" w:type="dxa"/>
            <w:noWrap w:val="0"/>
            <w:vAlign w:val="center"/>
          </w:tcPr>
          <w:p w14:paraId="7A2ACB10">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Sensor drift</w:t>
            </w:r>
          </w:p>
        </w:tc>
        <w:tc>
          <w:tcPr>
            <w:tcW w:w="2998" w:type="dxa"/>
            <w:noWrap w:val="0"/>
            <w:vAlign w:val="center"/>
          </w:tcPr>
          <w:p w14:paraId="05845155">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Perform zero calibration</w:t>
            </w:r>
          </w:p>
        </w:tc>
      </w:tr>
      <w:tr w14:paraId="6FBF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15" w:type="dxa"/>
            <w:noWrap w:val="0"/>
            <w:vAlign w:val="center"/>
          </w:tcPr>
          <w:p w14:paraId="30DA975C">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The instrument's normal detection interface displays full range indication</w:t>
            </w:r>
          </w:p>
        </w:tc>
        <w:tc>
          <w:tcPr>
            <w:tcW w:w="1667" w:type="dxa"/>
            <w:noWrap w:val="0"/>
            <w:vAlign w:val="center"/>
          </w:tcPr>
          <w:p w14:paraId="1DC76CEC">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Sensor failure</w:t>
            </w:r>
          </w:p>
        </w:tc>
        <w:tc>
          <w:tcPr>
            <w:tcW w:w="2998" w:type="dxa"/>
            <w:noWrap w:val="0"/>
            <w:vAlign w:val="center"/>
          </w:tcPr>
          <w:p w14:paraId="741D82AD">
            <w:pPr>
              <w:pageBreakBefore w:val="0"/>
              <w:kinsoku/>
              <w:wordWrap/>
              <w:overflowPunct/>
              <w:topLinePunct w:val="0"/>
              <w:bidi w:val="0"/>
              <w:jc w:val="center"/>
              <w:textAlignment w:val="center"/>
              <w:outlineLvl w:val="9"/>
              <w:rPr>
                <w:rFonts w:hint="default" w:ascii="微软雅黑" w:hAnsi="微软雅黑" w:eastAsia="微软雅黑" w:cs="微软雅黑"/>
                <w:color w:val="000000"/>
                <w:sz w:val="18"/>
                <w:szCs w:val="18"/>
                <w:lang w:val="en-US"/>
              </w:rPr>
            </w:pPr>
            <w:r>
              <w:rPr>
                <w:rFonts w:hint="default" w:ascii="Times New Roman" w:hAnsi="微软雅黑" w:eastAsia="微软雅黑" w:cs="微软雅黑"/>
                <w:color w:val="000000"/>
                <w:kern w:val="2"/>
                <w:sz w:val="18"/>
                <w:szCs w:val="18"/>
                <w:lang w:val="en-US" w:eastAsia="zh-CN" w:bidi="ar-SA"/>
              </w:rPr>
              <w:t>Contact the dealer or manufacturer to replace the sensor.</w:t>
            </w:r>
          </w:p>
        </w:tc>
      </w:tr>
    </w:tbl>
    <w:p w14:paraId="2CABCE86">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default" w:ascii="微软雅黑" w:hAnsi="微软雅黑" w:eastAsia="微软雅黑" w:cs="微软雅黑"/>
          <w:b/>
          <w:color w:val="000000"/>
          <w:sz w:val="20"/>
          <w:szCs w:val="20"/>
          <w:lang w:val="en-US" w:eastAsia="zh-CN"/>
        </w:rPr>
      </w:pPr>
      <w:bookmarkStart w:id="14" w:name="_Toc31354"/>
      <w:r>
        <w:rPr>
          <w:rFonts w:hint="default" w:ascii="Times New Roman" w:hAnsi="微软雅黑" w:eastAsia="微软雅黑" w:cs="微软雅黑"/>
          <w:b/>
          <w:color w:val="000000"/>
          <w:kern w:val="2"/>
          <w:sz w:val="20"/>
          <w:szCs w:val="20"/>
          <w:lang w:val="en-US" w:eastAsia="zh-CN" w:bidi="ar-SA"/>
        </w:rPr>
        <w:t>VII. Warranty and Maintenance</w:t>
      </w:r>
      <w:bookmarkEnd w:id="14"/>
    </w:p>
    <w:p w14:paraId="34E94A3C">
      <w:pPr>
        <w:pageBreakBefore w:val="0"/>
        <w:numPr>
          <w:ilvl w:val="0"/>
          <w:numId w:val="0"/>
        </w:numPr>
        <w:kinsoku/>
        <w:wordWrap/>
        <w:overflowPunct/>
        <w:topLinePunct w:val="0"/>
        <w:bidi w:val="0"/>
        <w:textAlignment w:val="center"/>
        <w:outlineLvl w:val="9"/>
        <w:rPr>
          <w:rFonts w:hint="default" w:ascii="微软雅黑" w:hAnsi="微软雅黑" w:eastAsia="微软雅黑" w:cs="微软雅黑"/>
          <w:b w:val="0"/>
          <w:bCs/>
          <w:sz w:val="18"/>
          <w:szCs w:val="18"/>
          <w:lang w:val="en-US"/>
        </w:rPr>
      </w:pPr>
      <w:r>
        <w:rPr>
          <w:rFonts w:hint="default" w:ascii="Times New Roman" w:hAnsi="微软雅黑" w:eastAsia="微软雅黑" w:cs="微软雅黑"/>
          <w:b w:val="0"/>
          <w:bCs/>
          <w:kern w:val="2"/>
          <w:sz w:val="18"/>
          <w:szCs w:val="18"/>
          <w:lang w:val="en-US" w:eastAsia="zh-CN" w:bidi="ar-SA"/>
        </w:rPr>
        <w:t>(1) This product is covered by a one-year warranty (excluding wear parts). In case of malfunction under normal usage conditions, free factory repair and maintenance services are provided. Damage caused by human error, natural disasters, or improper use is not covered by the warranty.</w:t>
      </w:r>
    </w:p>
    <w:p w14:paraId="379E2588">
      <w:pPr>
        <w:pageBreakBefore w:val="0"/>
        <w:numPr>
          <w:ilvl w:val="0"/>
          <w:numId w:val="0"/>
        </w:numPr>
        <w:kinsoku/>
        <w:wordWrap/>
        <w:overflowPunct/>
        <w:topLinePunct w:val="0"/>
        <w:bidi w:val="0"/>
        <w:textAlignment w:val="center"/>
        <w:outlineLvl w:val="9"/>
        <w:rPr>
          <w:rFonts w:hint="default" w:ascii="微软雅黑" w:hAnsi="微软雅黑" w:eastAsia="微软雅黑" w:cs="微软雅黑"/>
          <w:b w:val="0"/>
          <w:bCs/>
          <w:sz w:val="18"/>
          <w:szCs w:val="18"/>
          <w:lang w:val="en-US"/>
        </w:rPr>
      </w:pPr>
      <w:r>
        <w:rPr>
          <w:rFonts w:hint="default" w:ascii="Times New Roman" w:hAnsi="微软雅黑" w:eastAsia="微软雅黑" w:cs="微软雅黑"/>
          <w:b w:val="0"/>
          <w:bCs/>
          <w:kern w:val="2"/>
          <w:sz w:val="18"/>
          <w:szCs w:val="18"/>
          <w:lang w:val="en-US" w:eastAsia="zh-CN" w:bidi="ar-SA"/>
        </w:rPr>
        <w:t>(2) If the sensor reaches its end of life, please contact our company for replacement.</w:t>
      </w:r>
    </w:p>
    <w:p w14:paraId="082F7E47">
      <w:pPr>
        <w:pageBreakBefore w:val="0"/>
        <w:numPr>
          <w:ilvl w:val="0"/>
          <w:numId w:val="0"/>
        </w:numPr>
        <w:kinsoku/>
        <w:wordWrap/>
        <w:overflowPunct/>
        <w:topLinePunct w:val="0"/>
        <w:bidi w:val="0"/>
        <w:textAlignment w:val="center"/>
        <w:outlineLvl w:val="9"/>
        <w:rPr>
          <w:rFonts w:hint="default" w:ascii="微软雅黑" w:hAnsi="微软雅黑" w:eastAsia="微软雅黑" w:cs="微软雅黑"/>
          <w:b w:val="0"/>
          <w:bCs/>
          <w:sz w:val="18"/>
          <w:szCs w:val="18"/>
          <w:lang w:val="en-US"/>
        </w:rPr>
      </w:pPr>
      <w:r>
        <w:rPr>
          <w:rFonts w:hint="default" w:ascii="Times New Roman" w:hAnsi="微软雅黑" w:eastAsia="微软雅黑" w:cs="微软雅黑"/>
          <w:b w:val="0"/>
          <w:bCs/>
          <w:kern w:val="2"/>
          <w:sz w:val="18"/>
          <w:szCs w:val="18"/>
          <w:lang w:val="en-US" w:eastAsia="zh-CN" w:bidi="ar-SA"/>
        </w:rPr>
        <w:t>(3) If the user cannot resolve the issue, the detector may be returned to our company for repair. We will promptly troubleshoot and deliver it back to the user.</w:t>
      </w:r>
    </w:p>
    <w:p w14:paraId="43A887F1">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eastAsia" w:ascii="微软雅黑" w:hAnsi="微软雅黑" w:eastAsia="微软雅黑" w:cs="微软雅黑"/>
          <w:b/>
          <w:color w:val="000000"/>
          <w:sz w:val="20"/>
          <w:szCs w:val="20"/>
          <w:lang w:val="en-US" w:eastAsia="zh-CN"/>
        </w:rPr>
      </w:pPr>
      <w:bookmarkStart w:id="15" w:name="_Toc24969"/>
      <w:r>
        <w:rPr>
          <w:rFonts w:hint="default" w:ascii="Times New Roman" w:hAnsi="微软雅黑" w:eastAsia="微软雅黑" w:cs="微软雅黑"/>
          <w:b/>
          <w:color w:val="000000"/>
          <w:kern w:val="2"/>
          <w:sz w:val="20"/>
          <w:szCs w:val="20"/>
          <w:lang w:val="en-US" w:eastAsia="zh-CN" w:bidi="ar-SA"/>
        </w:rPr>
        <w:t>VIII. Storage</w:t>
      </w:r>
      <w:bookmarkEnd w:id="15"/>
    </w:p>
    <w:p w14:paraId="3CCE2CD6">
      <w:pPr>
        <w:pStyle w:val="10"/>
        <w:pageBreakBefore w:val="0"/>
        <w:kinsoku/>
        <w:wordWrap/>
        <w:overflowPunct/>
        <w:topLinePunct w:val="0"/>
        <w:bidi w:val="0"/>
        <w:spacing w:line="240" w:lineRule="auto"/>
        <w:ind w:firstLine="360" w:firstLineChars="200"/>
        <w:textAlignment w:val="center"/>
        <w:outlineLvl w:val="9"/>
        <w:rPr>
          <w:rFonts w:hint="default" w:ascii="微软雅黑" w:hAnsi="微软雅黑" w:eastAsia="微软雅黑" w:cs="微软雅黑"/>
          <w:sz w:val="18"/>
          <w:szCs w:val="18"/>
          <w:lang w:val="en-US"/>
        </w:rPr>
      </w:pPr>
      <w:r>
        <w:rPr>
          <w:rFonts w:hint="default" w:ascii="Times New Roman" w:hAnsi="微软雅黑" w:eastAsia="微软雅黑" w:cs="微软雅黑"/>
          <w:sz w:val="18"/>
          <w:szCs w:val="18"/>
          <w:lang w:val="en-US" w:eastAsia="zh-CN" w:bidi="ar-SA"/>
        </w:rPr>
        <w:t>The product shall be stored in a ventilated room with an ambient temperature ranging from-10°C to +55°C and relative humidity not exceeding 85%, and the air must be free from harmful gases or impurities that may cause corrosion to the product.</w:t>
      </w:r>
    </w:p>
    <w:p w14:paraId="475FAE47">
      <w:pPr>
        <w:keepNext w:val="0"/>
        <w:keepLines w:val="0"/>
        <w:pageBreakBefore w:val="0"/>
        <w:widowControl w:val="0"/>
        <w:tabs>
          <w:tab w:val="left" w:pos="540"/>
        </w:tabs>
        <w:kinsoku/>
        <w:wordWrap/>
        <w:overflowPunct/>
        <w:topLinePunct w:val="0"/>
        <w:autoSpaceDE/>
        <w:autoSpaceDN/>
        <w:bidi w:val="0"/>
        <w:adjustRightInd w:val="0"/>
        <w:snapToGrid w:val="0"/>
        <w:spacing w:line="288" w:lineRule="auto"/>
        <w:textAlignment w:val="center"/>
        <w:outlineLvl w:val="0"/>
        <w:rPr>
          <w:rFonts w:hint="eastAsia" w:ascii="微软雅黑" w:hAnsi="微软雅黑" w:eastAsia="微软雅黑" w:cs="微软雅黑"/>
          <w:b/>
          <w:color w:val="000000"/>
          <w:sz w:val="20"/>
          <w:szCs w:val="20"/>
          <w:lang w:val="en-US" w:eastAsia="zh-CN"/>
        </w:rPr>
      </w:pPr>
      <w:bookmarkStart w:id="16" w:name="_Toc17030"/>
      <w:r>
        <w:rPr>
          <w:rFonts w:hint="default" w:ascii="Times New Roman" w:hAnsi="微软雅黑" w:eastAsia="微软雅黑" w:cs="微软雅黑"/>
          <w:b/>
          <w:color w:val="000000"/>
          <w:kern w:val="2"/>
          <w:sz w:val="20"/>
          <w:szCs w:val="20"/>
          <w:lang w:val="en-US" w:eastAsia="zh-CN" w:bidi="ar-SA"/>
        </w:rPr>
        <w:t>IX. Accessories</w:t>
      </w:r>
      <w:bookmarkEnd w:id="16"/>
    </w:p>
    <w:p w14:paraId="0781F9C2">
      <w:pPr>
        <w:pStyle w:val="10"/>
        <w:pageBreakBefore w:val="0"/>
        <w:numPr>
          <w:ilvl w:val="0"/>
          <w:numId w:val="0"/>
        </w:numPr>
        <w:kinsoku/>
        <w:wordWrap/>
        <w:overflowPunct/>
        <w:topLinePunct w:val="0"/>
        <w:bidi w:val="0"/>
        <w:spacing w:line="240" w:lineRule="auto"/>
        <w:ind w:firstLine="360" w:firstLineChars="200"/>
        <w:textAlignment w:val="center"/>
        <w:outlineLvl w:val="9"/>
        <w:rPr>
          <w:rFonts w:hint="default" w:ascii="微软雅黑" w:hAnsi="微软雅黑" w:eastAsia="微软雅黑" w:cs="微软雅黑"/>
          <w:sz w:val="18"/>
          <w:szCs w:val="18"/>
          <w:lang w:val="en-US"/>
        </w:rPr>
      </w:pPr>
      <w:r>
        <w:rPr>
          <w:rFonts w:hint="default" w:ascii="Times New Roman" w:hAnsi="微软雅黑" w:eastAsia="微软雅黑" w:cs="微软雅黑"/>
          <w:sz w:val="18"/>
          <w:szCs w:val="18"/>
          <w:lang w:val="en-US" w:eastAsia="zh-CN" w:bidi="ar-SA"/>
        </w:rPr>
        <w:t>The accompanying products include one portable gas detection alarm device, one user manual, one product qualification certificate and warranty card, one factory inspection report, and one set of chargers.</w:t>
      </w:r>
    </w:p>
    <w:p w14:paraId="14FC9B55">
      <w:pPr>
        <w:pStyle w:val="10"/>
        <w:pageBreakBefore w:val="0"/>
        <w:numPr>
          <w:ilvl w:val="0"/>
          <w:numId w:val="0"/>
        </w:numPr>
        <w:kinsoku/>
        <w:wordWrap/>
        <w:overflowPunct/>
        <w:topLinePunct w:val="0"/>
        <w:bidi w:val="0"/>
        <w:spacing w:line="240" w:lineRule="auto"/>
        <w:ind w:firstLine="360" w:firstLineChars="200"/>
        <w:textAlignment w:val="center"/>
        <w:outlineLvl w:val="9"/>
        <w:rPr>
          <w:rFonts w:hint="eastAsia" w:ascii="微软雅黑" w:hAnsi="微软雅黑" w:eastAsia="微软雅黑" w:cs="微软雅黑"/>
          <w:sz w:val="18"/>
          <w:szCs w:val="18"/>
        </w:rPr>
        <w:sectPr>
          <w:headerReference r:id="rId6" w:type="default"/>
          <w:footerReference r:id="rId7" w:type="default"/>
          <w:pgSz w:w="8392" w:h="11850" w:orient="landscape"/>
          <w:pgMar w:top="1020" w:right="1020" w:bottom="1020" w:left="1020" w:header="510" w:footer="510" w:gutter="0"/>
          <w:pgNumType w:start="1"/>
          <w:cols w:space="720" w:num="1"/>
          <w:docGrid w:type="lines" w:linePitch="316" w:charSpace="0"/>
        </w:sectPr>
      </w:pPr>
    </w:p>
    <w:p w14:paraId="74187E8E">
      <w:pPr>
        <w:keepNext w:val="0"/>
        <w:keepLines w:val="0"/>
        <w:pageBreakBefore w:val="0"/>
        <w:widowControl w:val="0"/>
        <w:numPr>
          <w:ilvl w:val="0"/>
          <w:numId w:val="0"/>
        </w:numPr>
        <w:kinsoku/>
        <w:wordWrap/>
        <w:overflowPunct/>
        <w:topLinePunct w:val="0"/>
        <w:autoSpaceDE/>
        <w:autoSpaceDN/>
        <w:bidi w:val="0"/>
        <w:adjustRightInd/>
        <w:snapToGrid/>
        <w:jc w:val="left"/>
        <w:textAlignment w:val="center"/>
        <w:rPr>
          <w:rFonts w:hint="default"/>
          <w:lang w:val="en-US" w:eastAsia="zh-CN"/>
        </w:rPr>
      </w:pPr>
    </w:p>
    <w:p w14:paraId="0A062756">
      <w:pPr>
        <w:keepNext w:val="0"/>
        <w:keepLines w:val="0"/>
        <w:pageBreakBefore w:val="0"/>
        <w:widowControl w:val="0"/>
        <w:numPr>
          <w:ilvl w:val="0"/>
          <w:numId w:val="0"/>
        </w:numPr>
        <w:kinsoku/>
        <w:wordWrap/>
        <w:overflowPunct/>
        <w:topLinePunct w:val="0"/>
        <w:autoSpaceDE/>
        <w:autoSpaceDN/>
        <w:bidi w:val="0"/>
        <w:adjustRightInd/>
        <w:snapToGrid/>
        <w:jc w:val="left"/>
        <w:textAlignment w:val="center"/>
        <w:rPr>
          <w:rFonts w:hint="default"/>
          <w:lang w:val="en-US" w:eastAsia="zh-CN"/>
        </w:rPr>
      </w:pPr>
    </w:p>
    <w:p w14:paraId="58F7A6AC">
      <w:pPr>
        <w:keepNext w:val="0"/>
        <w:keepLines w:val="0"/>
        <w:pageBreakBefore w:val="0"/>
        <w:widowControl w:val="0"/>
        <w:numPr>
          <w:ilvl w:val="0"/>
          <w:numId w:val="0"/>
        </w:numPr>
        <w:kinsoku/>
        <w:wordWrap/>
        <w:overflowPunct/>
        <w:topLinePunct w:val="0"/>
        <w:autoSpaceDE/>
        <w:autoSpaceDN/>
        <w:bidi w:val="0"/>
        <w:adjustRightInd/>
        <w:snapToGrid/>
        <w:jc w:val="left"/>
        <w:textAlignment w:val="center"/>
        <w:rPr>
          <w:rFonts w:hint="default"/>
          <w:lang w:val="en-US" w:eastAsia="zh-CN"/>
        </w:rPr>
      </w:pPr>
    </w:p>
    <w:p w14:paraId="7EA15DB5">
      <w:pPr>
        <w:tabs>
          <w:tab w:val="left" w:pos="4590"/>
        </w:tabs>
        <w:snapToGrid w:val="0"/>
        <w:spacing w:line="312" w:lineRule="auto"/>
        <w:rPr>
          <w:rFonts w:hint="eastAsia" w:ascii="微软雅黑" w:hAnsi="微软雅黑" w:eastAsia="微软雅黑" w:cs="微软雅黑"/>
          <w:sz w:val="20"/>
          <w:szCs w:val="20"/>
        </w:rPr>
      </w:pPr>
      <w:r>
        <w:rPr>
          <w:rFonts w:hint="eastAsia" w:ascii="微软雅黑" w:hAnsi="微软雅黑" w:eastAsia="微软雅黑" w:cs="微软雅黑"/>
          <w:sz w:val="20"/>
          <w:szCs w:val="20"/>
        </w:rPr>
        <w:drawing>
          <wp:anchor distT="0" distB="0" distL="114300" distR="114300" simplePos="0" relativeHeight="251659264" behindDoc="1" locked="0" layoutInCell="1" allowOverlap="1">
            <wp:simplePos x="0" y="0"/>
            <wp:positionH relativeFrom="column">
              <wp:posOffset>1236980</wp:posOffset>
            </wp:positionH>
            <wp:positionV relativeFrom="paragraph">
              <wp:posOffset>175260</wp:posOffset>
            </wp:positionV>
            <wp:extent cx="1235075" cy="691515"/>
            <wp:effectExtent l="0" t="0" r="0" b="0"/>
            <wp:wrapThrough wrapText="bothSides">
              <wp:wrapPolygon>
                <wp:start x="0" y="0"/>
                <wp:lineTo x="0" y="20628"/>
                <wp:lineTo x="21322" y="20628"/>
                <wp:lineTo x="21322" y="19835"/>
                <wp:lineTo x="19990" y="0"/>
                <wp:lineTo x="0" y="0"/>
              </wp:wrapPolygon>
            </wp:wrapThrough>
            <wp:docPr id="31" name="图片 2" descr="欧泰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descr="欧泰logo"/>
                    <pic:cNvPicPr>
                      <a:picLocks noChangeAspect="1"/>
                    </pic:cNvPicPr>
                  </pic:nvPicPr>
                  <pic:blipFill>
                    <a:blip r:embed="rId30"/>
                    <a:stretch>
                      <a:fillRect/>
                    </a:stretch>
                  </pic:blipFill>
                  <pic:spPr>
                    <a:xfrm>
                      <a:off x="0" y="0"/>
                      <a:ext cx="1235075" cy="691515"/>
                    </a:xfrm>
                    <a:prstGeom prst="rect">
                      <a:avLst/>
                    </a:prstGeom>
                    <a:noFill/>
                    <a:ln>
                      <a:noFill/>
                    </a:ln>
                  </pic:spPr>
                </pic:pic>
              </a:graphicData>
            </a:graphic>
          </wp:anchor>
        </w:drawing>
      </w:r>
    </w:p>
    <w:p w14:paraId="0553BD9C">
      <w:pPr>
        <w:tabs>
          <w:tab w:val="left" w:pos="4590"/>
        </w:tabs>
        <w:snapToGrid w:val="0"/>
        <w:spacing w:line="312" w:lineRule="auto"/>
        <w:rPr>
          <w:rFonts w:hint="eastAsia" w:ascii="微软雅黑" w:hAnsi="微软雅黑" w:eastAsia="微软雅黑" w:cs="微软雅黑"/>
          <w:sz w:val="20"/>
          <w:szCs w:val="20"/>
        </w:rPr>
      </w:pPr>
    </w:p>
    <w:p w14:paraId="34ADE72C">
      <w:pPr>
        <w:tabs>
          <w:tab w:val="left" w:pos="4590"/>
        </w:tabs>
        <w:snapToGrid w:val="0"/>
        <w:spacing w:line="312" w:lineRule="auto"/>
        <w:rPr>
          <w:rFonts w:hint="eastAsia" w:ascii="微软雅黑" w:hAnsi="微软雅黑" w:eastAsia="微软雅黑" w:cs="微软雅黑"/>
          <w:sz w:val="20"/>
          <w:szCs w:val="20"/>
        </w:rPr>
      </w:pPr>
    </w:p>
    <w:p w14:paraId="7BD60FB3">
      <w:pPr>
        <w:tabs>
          <w:tab w:val="left" w:pos="4590"/>
        </w:tabs>
        <w:snapToGrid w:val="0"/>
        <w:spacing w:line="312" w:lineRule="auto"/>
        <w:rPr>
          <w:rFonts w:hint="eastAsia" w:ascii="微软雅黑" w:hAnsi="微软雅黑" w:eastAsia="微软雅黑" w:cs="微软雅黑"/>
          <w:sz w:val="20"/>
          <w:szCs w:val="20"/>
        </w:rPr>
      </w:pPr>
      <w:r>
        <w:rPr>
          <w:sz w:val="20"/>
        </w:rPr>
        <mc:AlternateContent>
          <mc:Choice Requires="wps">
            <w:drawing>
              <wp:anchor distT="0" distB="0" distL="114300" distR="114300" simplePos="0" relativeHeight="251660288" behindDoc="0" locked="0" layoutInCell="1" allowOverlap="1">
                <wp:simplePos x="0" y="0"/>
                <wp:positionH relativeFrom="column">
                  <wp:posOffset>1042670</wp:posOffset>
                </wp:positionH>
                <wp:positionV relativeFrom="paragraph">
                  <wp:posOffset>186055</wp:posOffset>
                </wp:positionV>
                <wp:extent cx="2442210" cy="64897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2442210" cy="648970"/>
                        </a:xfrm>
                        <a:prstGeom prst="rect">
                          <a:avLst/>
                        </a:prstGeom>
                        <a:noFill/>
                        <a:ln w="15875">
                          <a:noFill/>
                        </a:ln>
                        <a:effectLst/>
                      </wps:spPr>
                      <wps:txbx>
                        <w:txbxContent>
                          <w:p w14:paraId="78B194AD">
                            <w:pPr>
                              <w:rPr>
                                <w:rFonts w:hint="default" w:ascii="微软雅黑" w:hAnsi="微软雅黑" w:eastAsia="微软雅黑" w:cs="微软雅黑"/>
                                <w:b/>
                                <w:bCs/>
                                <w:sz w:val="32"/>
                                <w:szCs w:val="32"/>
                                <w:highlight w:val="yellow"/>
                                <w:lang w:val="en-US"/>
                              </w:rPr>
                            </w:pPr>
                          </w:p>
                        </w:txbxContent>
                      </wps:txbx>
                      <wps:bodyPr upright="1"/>
                    </wps:wsp>
                  </a:graphicData>
                </a:graphic>
              </wp:anchor>
            </w:drawing>
          </mc:Choice>
          <mc:Fallback>
            <w:pict>
              <v:shape id="_x0000_s1026" o:spid="_x0000_s1026" o:spt="202" type="#_x0000_t202" style="position:absolute;left:0pt;margin-left:82.1pt;margin-top:14.65pt;height:51.1pt;width:192.3pt;z-index:251660288;mso-width-relative:page;mso-height-relative:page;" filled="f" stroked="f" coordsize="21600,21600" o:gfxdata="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P5LF2wAAAAoBAAAPAAAAAAAAAAEAIAAAACIAAABkcnMvZG93bnJldi54&#10;bWxQSwECFAAUAAAACACHTuJA4SCKT74BAABoAwAADgAAAAAAAAABACAAAAAqAQAAZHJzL2Uyb0Rv&#10;Yy54bWxQSwUGAAAAAAYABgBZAQAAWgUAAAAA&#10;">
                <v:fill on="f" focussize="0,0"/>
                <v:stroke on="f" weight="1.25pt"/>
                <v:imagedata o:title=""/>
                <o:lock v:ext="edit" aspectratio="f"/>
                <v:textbox>
                  <w:txbxContent>
                    <w:p w14:paraId="78B194AD">
                      <w:pPr>
                        <w:rPr>
                          <w:rFonts w:hint="default" w:ascii="微软雅黑" w:hAnsi="微软雅黑" w:eastAsia="微软雅黑" w:cs="微软雅黑"/>
                          <w:b/>
                          <w:bCs/>
                          <w:sz w:val="32"/>
                          <w:szCs w:val="32"/>
                          <w:highlight w:val="yellow"/>
                          <w:lang w:val="en-US"/>
                        </w:rPr>
                      </w:pPr>
                    </w:p>
                  </w:txbxContent>
                </v:textbox>
              </v:shape>
            </w:pict>
          </mc:Fallback>
        </mc:AlternateContent>
      </w:r>
    </w:p>
    <w:p w14:paraId="1FA6B9B8">
      <w:pPr>
        <w:tabs>
          <w:tab w:val="left" w:pos="4590"/>
        </w:tabs>
        <w:snapToGrid w:val="0"/>
        <w:spacing w:line="312" w:lineRule="auto"/>
        <w:rPr>
          <w:rFonts w:hint="eastAsia" w:ascii="微软雅黑" w:hAnsi="微软雅黑" w:eastAsia="微软雅黑" w:cs="微软雅黑"/>
          <w:sz w:val="20"/>
          <w:szCs w:val="20"/>
        </w:rPr>
      </w:pPr>
    </w:p>
    <w:p w14:paraId="21E404DC">
      <w:pPr>
        <w:tabs>
          <w:tab w:val="left" w:pos="4590"/>
        </w:tabs>
        <w:snapToGrid w:val="0"/>
        <w:spacing w:line="312" w:lineRule="auto"/>
        <w:rPr>
          <w:rFonts w:hint="eastAsia" w:ascii="微软雅黑" w:hAnsi="微软雅黑" w:eastAsia="微软雅黑" w:cs="微软雅黑"/>
          <w:sz w:val="20"/>
          <w:szCs w:val="20"/>
        </w:rPr>
      </w:pPr>
    </w:p>
    <w:p w14:paraId="25AFFC2B">
      <w:pPr>
        <w:tabs>
          <w:tab w:val="left" w:pos="4590"/>
        </w:tabs>
        <w:snapToGrid w:val="0"/>
        <w:spacing w:line="312" w:lineRule="auto"/>
        <w:jc w:val="both"/>
        <w:rPr>
          <w:rFonts w:hint="default" w:ascii="Times New Roman" w:hAnsi="微软雅黑" w:eastAsia="微软雅黑" w:cs="微软雅黑"/>
          <w:b/>
          <w:bCs/>
          <w:kern w:val="2"/>
          <w:sz w:val="32"/>
          <w:szCs w:val="32"/>
          <w:lang w:val="en-US" w:eastAsia="zh-CN" w:bidi="ar-SA"/>
        </w:rPr>
      </w:pPr>
    </w:p>
    <w:p w14:paraId="6F544B4D">
      <w:pPr>
        <w:tabs>
          <w:tab w:val="left" w:pos="4590"/>
        </w:tabs>
        <w:snapToGrid w:val="0"/>
        <w:spacing w:line="312" w:lineRule="auto"/>
        <w:jc w:val="both"/>
        <w:rPr>
          <w:rFonts w:hint="default" w:ascii="微软雅黑" w:hAnsi="微软雅黑" w:eastAsia="微软雅黑" w:cs="微软雅黑"/>
          <w:b/>
          <w:bCs/>
          <w:sz w:val="32"/>
          <w:szCs w:val="32"/>
          <w:lang w:val="en-US"/>
        </w:rPr>
      </w:pPr>
      <w:r>
        <w:rPr>
          <w:rFonts w:hint="default" w:ascii="Times New Roman" w:hAnsi="微软雅黑" w:eastAsia="微软雅黑" w:cs="微软雅黑"/>
          <w:b/>
          <w:bCs/>
          <w:kern w:val="2"/>
          <w:sz w:val="32"/>
          <w:szCs w:val="32"/>
          <w:lang w:val="en-US" w:eastAsia="zh-CN" w:bidi="ar-SA"/>
        </w:rPr>
        <w:t>Henan O</w:t>
      </w:r>
      <w:r>
        <w:rPr>
          <w:rFonts w:hint="default" w:hAnsi="微软雅黑" w:eastAsia="微软雅黑" w:cs="微软雅黑"/>
          <w:b/>
          <w:bCs/>
          <w:kern w:val="2"/>
          <w:sz w:val="32"/>
          <w:szCs w:val="32"/>
          <w:lang w:val="en-US" w:eastAsia="zh-CN" w:bidi="ar-SA"/>
        </w:rPr>
        <w:t>ty</w:t>
      </w:r>
      <w:r>
        <w:rPr>
          <w:rFonts w:hint="default" w:ascii="Times New Roman" w:hAnsi="微软雅黑" w:eastAsia="微软雅黑" w:cs="微软雅黑"/>
          <w:b/>
          <w:bCs/>
          <w:kern w:val="2"/>
          <w:sz w:val="32"/>
          <w:szCs w:val="32"/>
          <w:lang w:val="en-US" w:eastAsia="zh-CN" w:bidi="ar-SA"/>
        </w:rPr>
        <w:t>well Electronic Technology Co., Ltd.</w:t>
      </w:r>
    </w:p>
    <w:p w14:paraId="5D2BADB0">
      <w:pPr>
        <w:tabs>
          <w:tab w:val="left" w:pos="4590"/>
        </w:tabs>
        <w:snapToGrid w:val="0"/>
        <w:spacing w:line="312" w:lineRule="auto"/>
        <w:jc w:val="center"/>
        <w:rPr>
          <w:rFonts w:hint="eastAsia" w:ascii="微软雅黑" w:hAnsi="微软雅黑" w:eastAsia="微软雅黑" w:cs="微软雅黑"/>
          <w:b/>
          <w:bCs/>
          <w:sz w:val="22"/>
          <w:szCs w:val="22"/>
        </w:rPr>
      </w:pPr>
    </w:p>
    <w:p w14:paraId="65781989">
      <w:pPr>
        <w:tabs>
          <w:tab w:val="left" w:pos="4590"/>
        </w:tabs>
        <w:snapToGrid w:val="0"/>
        <w:spacing w:line="312" w:lineRule="auto"/>
        <w:jc w:val="center"/>
        <w:rPr>
          <w:rFonts w:hint="eastAsia" w:ascii="微软雅黑" w:hAnsi="微软雅黑" w:eastAsia="微软雅黑" w:cs="微软雅黑"/>
          <w:b/>
          <w:bCs/>
          <w:sz w:val="22"/>
          <w:szCs w:val="22"/>
        </w:rPr>
      </w:pPr>
    </w:p>
    <w:p w14:paraId="7A1E0200">
      <w:pPr>
        <w:tabs>
          <w:tab w:val="left" w:pos="4590"/>
        </w:tabs>
        <w:snapToGrid w:val="0"/>
        <w:spacing w:line="312" w:lineRule="auto"/>
        <w:jc w:val="center"/>
        <w:rPr>
          <w:rFonts w:hint="default" w:ascii="Times New Roman" w:hAnsi="微软雅黑" w:eastAsia="微软雅黑" w:cs="微软雅黑"/>
          <w:b/>
          <w:bCs/>
          <w:kern w:val="2"/>
          <w:sz w:val="22"/>
          <w:szCs w:val="22"/>
          <w:lang w:val="en-US" w:eastAsia="zh-CN" w:bidi="ar-SA"/>
        </w:rPr>
      </w:pPr>
    </w:p>
    <w:p w14:paraId="467E8B89">
      <w:pPr>
        <w:tabs>
          <w:tab w:val="left" w:pos="4590"/>
        </w:tabs>
        <w:snapToGrid w:val="0"/>
        <w:spacing w:line="312" w:lineRule="auto"/>
        <w:jc w:val="center"/>
        <w:rPr>
          <w:rFonts w:hint="default" w:ascii="微软雅黑" w:hAnsi="微软雅黑" w:eastAsia="微软雅黑" w:cs="微软雅黑"/>
          <w:b/>
          <w:bCs/>
          <w:sz w:val="22"/>
          <w:szCs w:val="22"/>
          <w:lang w:val="en-US"/>
        </w:rPr>
      </w:pPr>
      <w:r>
        <w:rPr>
          <w:rFonts w:hint="default" w:ascii="Times New Roman" w:hAnsi="微软雅黑" w:eastAsia="微软雅黑" w:cs="微软雅黑"/>
          <w:b/>
          <w:bCs/>
          <w:kern w:val="2"/>
          <w:sz w:val="22"/>
          <w:szCs w:val="22"/>
          <w:lang w:val="en-US" w:eastAsia="zh-CN" w:bidi="ar-SA"/>
        </w:rPr>
        <w:t>Address: Unit 2, Building 38, Lian Dong U Valley, Lianhua Street, High-tech Zone, Zhengzhou City, Henan Province</w:t>
      </w:r>
    </w:p>
    <w:p w14:paraId="455DA798">
      <w:pPr>
        <w:tabs>
          <w:tab w:val="left" w:pos="4590"/>
        </w:tabs>
        <w:snapToGrid w:val="0"/>
        <w:spacing w:line="312" w:lineRule="auto"/>
        <w:jc w:val="center"/>
        <w:rPr>
          <w:rFonts w:hint="default" w:ascii="微软雅黑" w:hAnsi="微软雅黑" w:eastAsia="微软雅黑" w:cs="微软雅黑"/>
          <w:b/>
          <w:bCs/>
          <w:sz w:val="22"/>
          <w:szCs w:val="22"/>
          <w:lang w:val="en-US"/>
        </w:rPr>
      </w:pPr>
      <w:r>
        <w:rPr>
          <w:rFonts w:hint="default" w:ascii="Times New Roman" w:hAnsi="微软雅黑" w:eastAsia="微软雅黑" w:cs="微软雅黑"/>
          <w:b/>
          <w:bCs/>
          <w:kern w:val="2"/>
          <w:sz w:val="22"/>
          <w:szCs w:val="22"/>
          <w:lang w:val="en-US" w:eastAsia="zh-CN" w:bidi="ar-SA"/>
        </w:rPr>
        <w:t>Phone: 400-811-8873</w:t>
      </w:r>
    </w:p>
    <w:p w14:paraId="644B569F">
      <w:pPr>
        <w:tabs>
          <w:tab w:val="left" w:pos="4590"/>
        </w:tabs>
        <w:snapToGrid w:val="0"/>
        <w:spacing w:line="312" w:lineRule="auto"/>
        <w:jc w:val="center"/>
        <w:rPr>
          <w:rFonts w:hint="default" w:ascii="微软雅黑" w:hAnsi="微软雅黑" w:eastAsia="微软雅黑" w:cs="微软雅黑"/>
          <w:b/>
          <w:bCs/>
          <w:sz w:val="22"/>
          <w:szCs w:val="22"/>
          <w:lang w:val="en-US"/>
        </w:rPr>
      </w:pPr>
      <w:r>
        <w:rPr>
          <w:rFonts w:hint="default" w:ascii="Times New Roman" w:hAnsi="微软雅黑" w:eastAsia="微软雅黑" w:cs="微软雅黑"/>
          <w:b/>
          <w:bCs/>
          <w:kern w:val="2"/>
          <w:sz w:val="22"/>
          <w:szCs w:val="22"/>
          <w:lang w:val="en-US" w:eastAsia="zh-CN" w:bidi="ar-SA"/>
        </w:rPr>
        <w:t>Website: http://www.otywell.com</w:t>
      </w:r>
    </w:p>
    <w:p w14:paraId="15E20489">
      <w:pPr>
        <w:keepNext w:val="0"/>
        <w:keepLines w:val="0"/>
        <w:pageBreakBefore w:val="0"/>
        <w:kinsoku/>
        <w:wordWrap/>
        <w:overflowPunct/>
        <w:topLinePunct w:val="0"/>
        <w:autoSpaceDE/>
        <w:autoSpaceDN/>
        <w:bidi w:val="0"/>
        <w:adjustRightInd/>
        <w:snapToGrid/>
        <w:textAlignment w:val="center"/>
      </w:pPr>
    </w:p>
    <w:p w14:paraId="5D4DE0B2">
      <w:pPr>
        <w:pStyle w:val="10"/>
        <w:pageBreakBefore w:val="0"/>
        <w:numPr>
          <w:ilvl w:val="0"/>
          <w:numId w:val="0"/>
        </w:numPr>
        <w:kinsoku/>
        <w:wordWrap/>
        <w:overflowPunct/>
        <w:topLinePunct w:val="0"/>
        <w:bidi w:val="0"/>
        <w:spacing w:line="240" w:lineRule="auto"/>
        <w:ind w:firstLine="360" w:firstLineChars="200"/>
        <w:textAlignment w:val="center"/>
        <w:outlineLvl w:val="9"/>
        <w:rPr>
          <w:rFonts w:hint="eastAsia" w:ascii="微软雅黑" w:hAnsi="微软雅黑" w:eastAsia="微软雅黑" w:cs="微软雅黑"/>
          <w:sz w:val="18"/>
          <w:szCs w:val="18"/>
          <w:lang w:eastAsia="zh-CN"/>
        </w:rPr>
      </w:pPr>
    </w:p>
    <w:p w14:paraId="2336A2AE"/>
    <w:sectPr>
      <w:headerReference r:id="rId8" w:type="default"/>
      <w:footerReference r:id="rId9" w:type="default"/>
      <w:pgSz w:w="8419" w:h="11906" w:orient="landscape"/>
      <w:pgMar w:top="1134" w:right="1134" w:bottom="1134" w:left="1134" w:header="851" w:footer="992" w:gutter="0"/>
      <w:pgNumType w:fmt="decimal" w:start="1"/>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8F45E">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1E4F9">
    <w:pPr>
      <w:pStyle w:val="2"/>
      <w:jc w:val="center"/>
      <w:rPr>
        <w:rFonts w:hint="default"/>
        <w:lang w:val="en-US"/>
      </w:rPr>
    </w:pPr>
    <w:r>
      <w:rPr>
        <w:rFonts w:ascii="Times New Roman" w:hAnsi="Times New Roman" w:eastAsia="宋体" w:cs="Times New Roman"/>
        <w:kern w:val="2"/>
        <w:sz w:val="18"/>
        <w:szCs w:val="18"/>
        <w:lang w:val="en-US" w:eastAsia="zh-CN" w:bidi="ar-SA"/>
      </w:rPr>
      <w:t>1</w:t>
    </w:r>
  </w:p>
  <w:p w14:paraId="73EDF185">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C5920">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37ED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B593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F9525">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1D78F">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BE4D71"/>
    <w:multiLevelType w:val="multilevel"/>
    <w:tmpl w:val="ADBE4D71"/>
    <w:lvl w:ilvl="0" w:tentative="0">
      <w:start w:val="1"/>
      <w:numFmt w:val="decimal"/>
      <w:lvlText w:val="%1"/>
      <w:lvlJc w:val="left"/>
      <w:pPr>
        <w:tabs>
          <w:tab w:val="left" w:pos="360"/>
        </w:tabs>
        <w:ind w:left="360" w:hanging="360"/>
      </w:pPr>
      <w:rPr>
        <w:rFonts w:hint="eastAsia"/>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1">
    <w:nsid w:val="AED7FF6F"/>
    <w:multiLevelType w:val="singleLevel"/>
    <w:tmpl w:val="AED7FF6F"/>
    <w:lvl w:ilvl="0" w:tentative="0">
      <w:start w:val="1"/>
      <w:numFmt w:val="lowerLetter"/>
      <w:suff w:val="space"/>
      <w:lvlText w:val="%1)"/>
      <w:lvlJc w:val="left"/>
      <w:pPr>
        <w:ind w:left="190" w:firstLine="0"/>
      </w:pPr>
    </w:lvl>
  </w:abstractNum>
  <w:abstractNum w:abstractNumId="2">
    <w:nsid w:val="BFF65BBF"/>
    <w:multiLevelType w:val="singleLevel"/>
    <w:tmpl w:val="BFF65BBF"/>
    <w:lvl w:ilvl="0" w:tentative="0">
      <w:start w:val="1"/>
      <w:numFmt w:val="lowerLetter"/>
      <w:lvlText w:val="%1)"/>
      <w:lvlJc w:val="left"/>
      <w:pPr>
        <w:tabs>
          <w:tab w:val="left" w:pos="312"/>
        </w:tabs>
      </w:pPr>
    </w:lvl>
  </w:abstractNum>
  <w:abstractNum w:abstractNumId="3">
    <w:nsid w:val="DF7F0ACA"/>
    <w:multiLevelType w:val="singleLevel"/>
    <w:tmpl w:val="DF7F0ACA"/>
    <w:lvl w:ilvl="0" w:tentative="0">
      <w:start w:val="1"/>
      <w:numFmt w:val="lowerLetter"/>
      <w:lvlText w:val="%1)"/>
      <w:lvlJc w:val="left"/>
      <w:pPr>
        <w:tabs>
          <w:tab w:val="left" w:pos="312"/>
        </w:tabs>
      </w:pPr>
    </w:lvl>
  </w:abstractNum>
  <w:abstractNum w:abstractNumId="4">
    <w:nsid w:val="EEDE5518"/>
    <w:multiLevelType w:val="singleLevel"/>
    <w:tmpl w:val="EEDE5518"/>
    <w:lvl w:ilvl="0" w:tentative="0">
      <w:start w:val="1"/>
      <w:numFmt w:val="lowerLetter"/>
      <w:lvlText w:val="%1)"/>
      <w:lvlJc w:val="left"/>
      <w:pPr>
        <w:tabs>
          <w:tab w:val="left" w:pos="312"/>
        </w:tabs>
      </w:pPr>
    </w:lvl>
  </w:abstractNum>
  <w:abstractNum w:abstractNumId="5">
    <w:nsid w:val="EF4DE402"/>
    <w:multiLevelType w:val="singleLevel"/>
    <w:tmpl w:val="EF4DE402"/>
    <w:lvl w:ilvl="0" w:tentative="0">
      <w:start w:val="1"/>
      <w:numFmt w:val="bullet"/>
      <w:lvlText w:val=""/>
      <w:lvlJc w:val="left"/>
      <w:pPr>
        <w:ind w:left="420" w:hanging="420"/>
      </w:pPr>
      <w:rPr>
        <w:rFonts w:hint="default" w:ascii="Wingdings" w:hAnsi="Wingdings"/>
      </w:rPr>
    </w:lvl>
  </w:abstractNum>
  <w:abstractNum w:abstractNumId="6">
    <w:nsid w:val="F77F13DF"/>
    <w:multiLevelType w:val="singleLevel"/>
    <w:tmpl w:val="F77F13DF"/>
    <w:lvl w:ilvl="0" w:tentative="0">
      <w:start w:val="1"/>
      <w:numFmt w:val="lowerLetter"/>
      <w:suff w:val="space"/>
      <w:lvlText w:val="%1)"/>
      <w:lvlJc w:val="left"/>
    </w:lvl>
  </w:abstractNum>
  <w:abstractNum w:abstractNumId="7">
    <w:nsid w:val="F7D66CEC"/>
    <w:multiLevelType w:val="multilevel"/>
    <w:tmpl w:val="F7D66CEC"/>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F7FBD33B"/>
    <w:multiLevelType w:val="singleLevel"/>
    <w:tmpl w:val="F7FBD33B"/>
    <w:lvl w:ilvl="0" w:tentative="0">
      <w:start w:val="1"/>
      <w:numFmt w:val="lowerLetter"/>
      <w:suff w:val="space"/>
      <w:lvlText w:val="%1)"/>
      <w:lvlJc w:val="left"/>
    </w:lvl>
  </w:abstractNum>
  <w:abstractNum w:abstractNumId="9">
    <w:nsid w:val="27DFADDA"/>
    <w:multiLevelType w:val="singleLevel"/>
    <w:tmpl w:val="27DFADDA"/>
    <w:lvl w:ilvl="0" w:tentative="0">
      <w:start w:val="1"/>
      <w:numFmt w:val="lowerLetter"/>
      <w:suff w:val="space"/>
      <w:lvlText w:val="%1)"/>
      <w:lvlJc w:val="left"/>
    </w:lvl>
  </w:abstractNum>
  <w:abstractNum w:abstractNumId="10">
    <w:nsid w:val="77AA5925"/>
    <w:multiLevelType w:val="singleLevel"/>
    <w:tmpl w:val="77AA5925"/>
    <w:lvl w:ilvl="0" w:tentative="0">
      <w:start w:val="1"/>
      <w:numFmt w:val="lowerLetter"/>
      <w:suff w:val="space"/>
      <w:lvlText w:val="%1)"/>
      <w:lvlJc w:val="left"/>
    </w:lvl>
  </w:abstractNum>
  <w:num w:numId="1">
    <w:abstractNumId w:val="0"/>
  </w:num>
  <w:num w:numId="2">
    <w:abstractNumId w:val="7"/>
  </w:num>
  <w:num w:numId="3">
    <w:abstractNumId w:val="5"/>
  </w:num>
  <w:num w:numId="4">
    <w:abstractNumId w:val="1"/>
  </w:num>
  <w:num w:numId="5">
    <w:abstractNumId w:val="2"/>
  </w:num>
  <w:num w:numId="6">
    <w:abstractNumId w:val="4"/>
  </w:num>
  <w:num w:numId="7">
    <w:abstractNumId w:val="9"/>
  </w:num>
  <w:num w:numId="8">
    <w:abstractNumId w:val="8"/>
  </w:num>
  <w:num w:numId="9">
    <w:abstractNumId w:val="6"/>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706FFA"/>
    <w:rsid w:val="053C02DB"/>
    <w:rsid w:val="071965F9"/>
    <w:rsid w:val="0FE55C74"/>
    <w:rsid w:val="18AF17AC"/>
    <w:rsid w:val="237F64BA"/>
    <w:rsid w:val="30634262"/>
    <w:rsid w:val="391E39B2"/>
    <w:rsid w:val="42FD0577"/>
    <w:rsid w:val="43657023"/>
    <w:rsid w:val="54994CDE"/>
    <w:rsid w:val="56AA301C"/>
    <w:rsid w:val="65196F82"/>
    <w:rsid w:val="6900400B"/>
    <w:rsid w:val="69112CDD"/>
    <w:rsid w:val="75D91027"/>
    <w:rsid w:val="7F947DAA"/>
    <w:rsid w:val="B9E99142"/>
    <w:rsid w:val="F5FF5D28"/>
    <w:rsid w:val="F7EE389D"/>
    <w:rsid w:val="FEFB5243"/>
    <w:rsid w:val="FF5B8A4C"/>
    <w:rsid w:val="FFD477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toc 1"/>
    <w:basedOn w:val="1"/>
    <w:next w:val="1"/>
    <w:qFormat/>
    <w:uiPriority w:val="39"/>
    <w:pPr>
      <w:spacing w:before="120" w:after="120"/>
      <w:jc w:val="left"/>
    </w:pPr>
    <w:rPr>
      <w:rFonts w:ascii="Calibri" w:hAnsi="Calibri"/>
      <w:b/>
      <w:bCs/>
      <w:caps/>
      <w:sz w:val="20"/>
      <w:szCs w:val="20"/>
    </w:rPr>
  </w:style>
  <w:style w:type="paragraph" w:styleId="5">
    <w:name w:val="Title"/>
    <w:basedOn w:val="1"/>
    <w:qFormat/>
    <w:uiPriority w:val="0"/>
    <w:pPr>
      <w:jc w:val="center"/>
    </w:pPr>
    <w:rPr>
      <w:sz w:val="32"/>
      <w:szCs w:val="20"/>
    </w:rPr>
  </w:style>
  <w:style w:type="character" w:styleId="8">
    <w:name w:val="Hyperlink"/>
    <w:basedOn w:val="7"/>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3075</Words>
  <Characters>17442</Characters>
  <Lines>0</Lines>
  <Paragraphs>0</Paragraphs>
  <TotalTime>1</TotalTime>
  <ScaleCrop>false</ScaleCrop>
  <LinksUpToDate>false</LinksUpToDate>
  <CharactersWithSpaces>20301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2025-07-09T19:25:00Z</dcterms:created>
  <dc:creator>admin</dc:creator>
  <cp:lastModifiedBy>小牛同学</cp:lastModifiedBy>
  <dcterms:modified xsi:type="dcterms:W3CDTF">2026-09-15T06:30:27Z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eyJoZGlkIjoiYzQwNjI3MjgyMGVhYWRiMDMwOWY2YmY3N2VhYzlhMjgiLCJ1c2VySWQiOiIxNTQ4OTQ1OTE5In0=</vt:lpwstr>
  </property>
  <property fmtid="{D5CDD505-2E9C-101B-9397-08002B2CF9AE}" pid="4" name="ICV">
    <vt:lpwstr>60F80C7D254649908BB255C9D8D496A5_13</vt:lpwstr>
  </property>
</Properties>
</file>